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41F5B" w14:textId="77777777" w:rsidR="00682951" w:rsidRDefault="00682951">
      <w:pPr>
        <w:spacing w:line="480" w:lineRule="auto"/>
        <w:jc w:val="center"/>
        <w:rPr>
          <w:b/>
          <w:highlight w:val="white"/>
        </w:rPr>
      </w:pPr>
    </w:p>
    <w:p w14:paraId="40C39DF5" w14:textId="77777777" w:rsidR="00682951" w:rsidRDefault="00CC4351">
      <w:pPr>
        <w:jc w:val="center"/>
        <w:rPr>
          <w:b/>
          <w:highlight w:val="white"/>
        </w:rPr>
      </w:pPr>
      <w:r>
        <w:rPr>
          <w:b/>
          <w:highlight w:val="white"/>
        </w:rPr>
        <w:t xml:space="preserve">THE STRUCTURAL MODEL OF BUSINESS PERFORMANCE  </w:t>
      </w:r>
    </w:p>
    <w:p w14:paraId="2B8F86D0" w14:textId="77777777" w:rsidR="00682951" w:rsidRDefault="00CC4351">
      <w:pPr>
        <w:jc w:val="center"/>
        <w:rPr>
          <w:b/>
          <w:highlight w:val="white"/>
        </w:rPr>
      </w:pPr>
      <w:r>
        <w:rPr>
          <w:b/>
          <w:highlight w:val="white"/>
        </w:rPr>
        <w:t xml:space="preserve">MANAGEMENT IN SMALL AND MEDIUM-SIZED ENTERPRISES </w:t>
      </w:r>
      <w:r>
        <w:rPr>
          <w:b/>
          <w:highlight w:val="green"/>
        </w:rPr>
        <w:t>IN MEXICO</w:t>
      </w:r>
    </w:p>
    <w:p w14:paraId="3C33A5FD" w14:textId="77777777" w:rsidR="00682951" w:rsidRDefault="00682951">
      <w:pPr>
        <w:spacing w:line="480" w:lineRule="auto"/>
        <w:jc w:val="center"/>
        <w:rPr>
          <w:b/>
          <w:color w:val="222222"/>
          <w:highlight w:val="white"/>
        </w:rPr>
      </w:pPr>
    </w:p>
    <w:p w14:paraId="6690BC8D" w14:textId="6F773C84" w:rsidR="00682951" w:rsidRDefault="00CC4351">
      <w:pPr>
        <w:pBdr>
          <w:top w:val="nil"/>
          <w:left w:val="nil"/>
          <w:bottom w:val="nil"/>
          <w:right w:val="nil"/>
          <w:between w:val="nil"/>
        </w:pBdr>
        <w:spacing w:line="480" w:lineRule="auto"/>
        <w:ind w:firstLine="432"/>
        <w:jc w:val="both"/>
        <w:rPr>
          <w:color w:val="000000"/>
        </w:rPr>
      </w:pPr>
      <w:r>
        <w:rPr>
          <w:color w:val="000000"/>
        </w:rPr>
        <w:t xml:space="preserve">.    </w:t>
      </w:r>
    </w:p>
    <w:p w14:paraId="599E5A18" w14:textId="77777777" w:rsidR="00682951" w:rsidRDefault="00CC4351">
      <w:pPr>
        <w:spacing w:line="480" w:lineRule="auto"/>
        <w:ind w:firstLine="426"/>
        <w:rPr>
          <w:b/>
          <w:color w:val="000000"/>
        </w:rPr>
      </w:pPr>
      <w:r>
        <w:rPr>
          <w:b/>
          <w:color w:val="000000"/>
          <w:highlight w:val="green"/>
        </w:rPr>
        <w:t>F. Research problem</w:t>
      </w:r>
    </w:p>
    <w:p w14:paraId="2AF321A3" w14:textId="77777777" w:rsidR="00682951" w:rsidRDefault="00CC4351">
      <w:pPr>
        <w:spacing w:line="480" w:lineRule="auto"/>
        <w:jc w:val="both"/>
        <w:rPr>
          <w:color w:val="000000"/>
        </w:rPr>
      </w:pPr>
      <w:bookmarkStart w:id="0" w:name="30j0zll" w:colFirst="0" w:colLast="0"/>
      <w:bookmarkStart w:id="1" w:name="1fob9te" w:colFirst="0" w:colLast="0"/>
      <w:bookmarkStart w:id="2" w:name="3znysh7" w:colFirst="0" w:colLast="0"/>
      <w:bookmarkEnd w:id="0"/>
      <w:bookmarkEnd w:id="1"/>
      <w:bookmarkEnd w:id="2"/>
      <w:r>
        <w:rPr>
          <w:color w:val="000000"/>
        </w:rPr>
        <w:t xml:space="preserve">The empirical model where intellectual capital and business reengineering directly influence business performance, and business model indirectly influences business performance, according to the perception of SME directors in Monterrey, Nuevo León, Mexico. Does this have a goodness of fit with the theoretical model? </w:t>
      </w:r>
      <w:r>
        <w:t>[INSERT FIGURE 1 HERE]</w:t>
      </w:r>
      <w:r>
        <w:rPr>
          <w:color w:val="000000"/>
        </w:rPr>
        <w:t xml:space="preserve">   </w:t>
      </w:r>
    </w:p>
    <w:p w14:paraId="4C5E38AA" w14:textId="77777777" w:rsidR="00682951" w:rsidRDefault="00CC4351">
      <w:pPr>
        <w:spacing w:line="480" w:lineRule="auto"/>
        <w:ind w:firstLine="426"/>
        <w:rPr>
          <w:b/>
          <w:color w:val="000000"/>
        </w:rPr>
      </w:pPr>
      <w:r>
        <w:rPr>
          <w:b/>
          <w:color w:val="000000"/>
          <w:highlight w:val="green"/>
        </w:rPr>
        <w:t xml:space="preserve">G. Null </w:t>
      </w:r>
      <w:proofErr w:type="spellStart"/>
      <w:r>
        <w:rPr>
          <w:b/>
          <w:color w:val="000000"/>
          <w:highlight w:val="green"/>
        </w:rPr>
        <w:t>hypothesys</w:t>
      </w:r>
      <w:proofErr w:type="spellEnd"/>
    </w:p>
    <w:p w14:paraId="55B0B26A" w14:textId="77777777" w:rsidR="00682951" w:rsidRDefault="00CC4351">
      <w:pPr>
        <w:spacing w:line="480" w:lineRule="auto"/>
        <w:jc w:val="both"/>
      </w:pPr>
      <w:r>
        <w:rPr>
          <w:color w:val="000000"/>
        </w:rPr>
        <w:t xml:space="preserve">The empirical model where intellectual capital and business reengineering directly influence business performance, and innovative business model indirectly influences business performance, according to the perception of SME directors in Monterrey, Nuevo León, Mexico. </w:t>
      </w:r>
      <w:r>
        <w:rPr>
          <w:color w:val="000000"/>
          <w:highlight w:val="green"/>
        </w:rPr>
        <w:t>This does not have a goodness</w:t>
      </w:r>
      <w:r>
        <w:rPr>
          <w:color w:val="000000"/>
        </w:rPr>
        <w:t xml:space="preserve"> of fit with the theoretical model. </w:t>
      </w:r>
    </w:p>
    <w:p w14:paraId="76B9727B" w14:textId="77777777" w:rsidR="00682951" w:rsidRDefault="00CC4351">
      <w:pPr>
        <w:spacing w:line="480" w:lineRule="auto"/>
        <w:jc w:val="center"/>
        <w:rPr>
          <w:b/>
        </w:rPr>
      </w:pPr>
      <w:r>
        <w:rPr>
          <w:b/>
        </w:rPr>
        <w:t>III. METHOD DESCRIPTION</w:t>
      </w:r>
    </w:p>
    <w:p w14:paraId="4369E10E" w14:textId="77777777" w:rsidR="00682951" w:rsidRDefault="00CC4351">
      <w:pPr>
        <w:widowControl w:val="0"/>
        <w:pBdr>
          <w:top w:val="nil"/>
          <w:left w:val="nil"/>
          <w:bottom w:val="nil"/>
          <w:right w:val="nil"/>
          <w:between w:val="nil"/>
        </w:pBdr>
        <w:spacing w:line="480" w:lineRule="auto"/>
        <w:jc w:val="both"/>
        <w:rPr>
          <w:color w:val="000000"/>
          <w:highlight w:val="green"/>
        </w:rPr>
      </w:pPr>
      <w:r>
        <w:rPr>
          <w:color w:val="000000"/>
        </w:rPr>
        <w:t>This study is quantitative, descriptive, transversal and causal. In the sample collection process, at The National Technological Institute of Mexico in Nuevo Leon campus, the authorization of the director was requested through a letter signed by the head of the research and industrial engineering projects. This office turned over the request to the director of Nuevo Leon CAINTRA (SMEs organization) that have 2500 affiliated companies that are in the Nuevo Leon area.</w:t>
      </w:r>
      <w:r>
        <w:rPr>
          <w:color w:val="000000"/>
          <w:highlight w:val="green"/>
        </w:rPr>
        <w:t xml:space="preserve"> A group of students who perform professional residences in these companies were provided with 10 surveys each, totaling 233 surveys that involved 233 SMEs. The surveys were applied physically to directors in their facilities and in their free time while other directors scheduled appointments in order not to obstruct the daily productive work of the company. The 233 represents the 9.32% of the population. Using a level of trust of 95% with .5 positive </w:t>
      </w:r>
      <w:r>
        <w:rPr>
          <w:color w:val="000000"/>
          <w:highlight w:val="green"/>
        </w:rPr>
        <w:lastRenderedPageBreak/>
        <w:t xml:space="preserve">variability and a 5% error the sample results of was 181. In this research 233 companies and directors were studied, hence having a representative sample. The sample (after removing outliers) consisted of 206 SMEs directors in Monterrey, Nuevo León. </w:t>
      </w:r>
    </w:p>
    <w:p w14:paraId="4FEBA00A" w14:textId="77777777" w:rsidR="00682951" w:rsidRDefault="00CC4351">
      <w:pPr>
        <w:widowControl w:val="0"/>
        <w:pBdr>
          <w:top w:val="nil"/>
          <w:left w:val="nil"/>
          <w:bottom w:val="nil"/>
          <w:right w:val="nil"/>
          <w:between w:val="nil"/>
        </w:pBdr>
        <w:spacing w:line="480" w:lineRule="auto"/>
        <w:ind w:firstLine="432"/>
        <w:jc w:val="both"/>
        <w:rPr>
          <w:color w:val="000000"/>
        </w:rPr>
      </w:pPr>
      <w:r>
        <w:rPr>
          <w:color w:val="000000"/>
        </w:rPr>
        <w:t xml:space="preserve">The data was collected using a questionnaire that was created by Sánchez Valdez (2018) with a 5-point Likert scale where 1 = </w:t>
      </w:r>
      <w:r>
        <w:rPr>
          <w:i/>
          <w:color w:val="000000"/>
        </w:rPr>
        <w:t>never</w:t>
      </w:r>
      <w:r>
        <w:rPr>
          <w:color w:val="000000"/>
        </w:rPr>
        <w:t xml:space="preserve">, 2 = </w:t>
      </w:r>
      <w:r>
        <w:rPr>
          <w:i/>
          <w:color w:val="000000"/>
        </w:rPr>
        <w:t>rarely</w:t>
      </w:r>
      <w:r>
        <w:rPr>
          <w:color w:val="000000"/>
        </w:rPr>
        <w:t>, 3 =</w:t>
      </w:r>
      <w:r>
        <w:rPr>
          <w:i/>
          <w:color w:val="000000"/>
        </w:rPr>
        <w:t xml:space="preserve"> sometimes, </w:t>
      </w:r>
      <w:r>
        <w:rPr>
          <w:color w:val="000000"/>
        </w:rPr>
        <w:t xml:space="preserve">4 = </w:t>
      </w:r>
      <w:r>
        <w:rPr>
          <w:i/>
          <w:color w:val="000000"/>
        </w:rPr>
        <w:t>Very often</w:t>
      </w:r>
      <w:r>
        <w:rPr>
          <w:color w:val="000000"/>
        </w:rPr>
        <w:t xml:space="preserve"> and 5 = always. The instrument of each construct had 16 questions, totaling 64 items. The reliability of the instrument was measured for each construct with the following Cronbach's alphas: (a) business model .921, (b) intellectual capital .937, (c) business reengineering .931 and (d) business performance .929.        </w:t>
      </w:r>
    </w:p>
    <w:p w14:paraId="1D678430" w14:textId="77777777" w:rsidR="00682951" w:rsidRDefault="00CC4351">
      <w:pPr>
        <w:widowControl w:val="0"/>
        <w:pBdr>
          <w:top w:val="nil"/>
          <w:left w:val="nil"/>
          <w:bottom w:val="nil"/>
          <w:right w:val="nil"/>
          <w:between w:val="nil"/>
        </w:pBdr>
        <w:spacing w:line="480" w:lineRule="auto"/>
        <w:ind w:firstLine="426"/>
        <w:jc w:val="both"/>
        <w:rPr>
          <w:color w:val="000000"/>
        </w:rPr>
      </w:pPr>
      <w:r>
        <w:rPr>
          <w:color w:val="000000"/>
        </w:rPr>
        <w:t>The characteristics of the sample are as follows: (a) age: 20 to 30 years 48.3%, 31 to 40 years 28.6%, 41 to 50 years 19.7% and 51 to 60 3.4%; (b) gender: men 79.3% and women 20.7%; (c) academic level: middle school .5%, high school 13.8%, undergraduate 69.0% and graduate 16.7%; (d) area of responsibility: sales 3.9%, production 33.3%, purchasing 8.8%, administration 12.7% and other areas 41.2%; (d) job position: operators 17.9%, supervisors 59.0%, managers 22.1%, and directors 1%; and (f) sector: sales 5.4%, manufacturing 89.6% and service 5.0%.</w:t>
      </w:r>
    </w:p>
    <w:p w14:paraId="2746F623" w14:textId="77777777" w:rsidR="00682951" w:rsidRDefault="00CC4351">
      <w:pPr>
        <w:spacing w:line="480" w:lineRule="auto"/>
        <w:ind w:firstLine="426"/>
        <w:rPr>
          <w:b/>
        </w:rPr>
      </w:pPr>
      <w:r>
        <w:rPr>
          <w:b/>
        </w:rPr>
        <w:t>A. Results and analysis</w:t>
      </w:r>
    </w:p>
    <w:p w14:paraId="685D683E" w14:textId="77777777" w:rsidR="00682951" w:rsidRDefault="00CC4351">
      <w:pPr>
        <w:spacing w:line="480" w:lineRule="auto"/>
        <w:jc w:val="both"/>
        <w:rPr>
          <w:i/>
        </w:rPr>
      </w:pPr>
      <w:r>
        <w:rPr>
          <w:i/>
        </w:rPr>
        <w:t>Descriptive statistics</w:t>
      </w:r>
    </w:p>
    <w:p w14:paraId="6274EFF5" w14:textId="77777777" w:rsidR="00682951" w:rsidRDefault="00CC4351">
      <w:pPr>
        <w:pBdr>
          <w:top w:val="nil"/>
          <w:left w:val="nil"/>
          <w:bottom w:val="nil"/>
          <w:right w:val="nil"/>
          <w:between w:val="nil"/>
        </w:pBdr>
        <w:spacing w:line="480" w:lineRule="auto"/>
        <w:jc w:val="both"/>
        <w:rPr>
          <w:color w:val="000000"/>
        </w:rPr>
      </w:pPr>
      <w:r>
        <w:rPr>
          <w:color w:val="000000"/>
        </w:rPr>
        <w:t>This section provides the arithmetic means (M) and standard deviations (S) of each construct. By analyzing the responses of the 206 directors, the arithmetic means were obtained for the business model (</w:t>
      </w:r>
      <w:r>
        <w:rPr>
          <w:i/>
          <w:color w:val="000000"/>
        </w:rPr>
        <w:t>M</w:t>
      </w:r>
      <w:r>
        <w:rPr>
          <w:color w:val="000000"/>
        </w:rPr>
        <w:t xml:space="preserve"> = 3.63, </w:t>
      </w:r>
      <w:r>
        <w:rPr>
          <w:i/>
          <w:color w:val="000000"/>
        </w:rPr>
        <w:t>S</w:t>
      </w:r>
      <w:r>
        <w:rPr>
          <w:color w:val="000000"/>
        </w:rPr>
        <w:t xml:space="preserve"> = .65), intellectual capital (</w:t>
      </w:r>
      <w:r>
        <w:rPr>
          <w:i/>
          <w:color w:val="000000"/>
        </w:rPr>
        <w:t>M</w:t>
      </w:r>
      <w:r>
        <w:rPr>
          <w:color w:val="000000"/>
        </w:rPr>
        <w:t xml:space="preserve"> = 4.00, </w:t>
      </w:r>
      <w:r>
        <w:rPr>
          <w:i/>
          <w:color w:val="000000"/>
        </w:rPr>
        <w:t>S</w:t>
      </w:r>
      <w:r>
        <w:rPr>
          <w:color w:val="000000"/>
        </w:rPr>
        <w:t xml:space="preserve"> = .63), business reengineering (</w:t>
      </w:r>
      <w:r>
        <w:rPr>
          <w:i/>
          <w:color w:val="000000"/>
        </w:rPr>
        <w:t>M</w:t>
      </w:r>
      <w:r>
        <w:rPr>
          <w:color w:val="000000"/>
        </w:rPr>
        <w:t xml:space="preserve"> = 3.93, </w:t>
      </w:r>
      <w:r>
        <w:rPr>
          <w:i/>
          <w:color w:val="000000"/>
        </w:rPr>
        <w:t xml:space="preserve">S </w:t>
      </w:r>
      <w:r>
        <w:rPr>
          <w:color w:val="000000"/>
        </w:rPr>
        <w:t>= .69) and business performance (</w:t>
      </w:r>
      <w:r>
        <w:rPr>
          <w:i/>
          <w:color w:val="000000"/>
        </w:rPr>
        <w:t>M</w:t>
      </w:r>
      <w:r>
        <w:rPr>
          <w:color w:val="000000"/>
        </w:rPr>
        <w:t xml:space="preserve"> = 4.25, </w:t>
      </w:r>
      <w:r>
        <w:rPr>
          <w:i/>
          <w:color w:val="000000"/>
        </w:rPr>
        <w:t>S</w:t>
      </w:r>
      <w:r>
        <w:rPr>
          <w:color w:val="000000"/>
        </w:rPr>
        <w:t xml:space="preserve"> = .60).   </w:t>
      </w:r>
    </w:p>
    <w:p w14:paraId="3B267740" w14:textId="77777777" w:rsidR="00682951" w:rsidRDefault="00CC4351">
      <w:pPr>
        <w:pBdr>
          <w:top w:val="nil"/>
          <w:left w:val="nil"/>
          <w:bottom w:val="nil"/>
          <w:right w:val="nil"/>
          <w:between w:val="nil"/>
        </w:pBdr>
        <w:spacing w:line="480" w:lineRule="auto"/>
        <w:ind w:firstLine="426"/>
        <w:jc w:val="both"/>
        <w:rPr>
          <w:color w:val="000000"/>
        </w:rPr>
      </w:pPr>
      <w:r>
        <w:rPr>
          <w:color w:val="000000"/>
        </w:rPr>
        <w:t xml:space="preserve">Table 1 shows the frequency distribution of the business model construct and that most companies </w:t>
      </w:r>
      <w:r>
        <w:rPr>
          <w:i/>
          <w:color w:val="000000"/>
        </w:rPr>
        <w:t xml:space="preserve">very often </w:t>
      </w:r>
      <w:r>
        <w:rPr>
          <w:color w:val="000000"/>
        </w:rPr>
        <w:t>(50%) have a business model. [INSERT TABLE 1 HERE].</w:t>
      </w:r>
    </w:p>
    <w:p w14:paraId="4DB9A5A5" w14:textId="77777777" w:rsidR="00682951" w:rsidRDefault="00CC4351">
      <w:pPr>
        <w:pBdr>
          <w:top w:val="nil"/>
          <w:left w:val="nil"/>
          <w:bottom w:val="nil"/>
          <w:right w:val="nil"/>
          <w:between w:val="nil"/>
        </w:pBdr>
        <w:spacing w:line="480" w:lineRule="auto"/>
        <w:ind w:firstLine="426"/>
        <w:jc w:val="both"/>
        <w:rPr>
          <w:color w:val="000000"/>
        </w:rPr>
      </w:pPr>
      <w:r>
        <w:rPr>
          <w:color w:val="000000"/>
        </w:rPr>
        <w:lastRenderedPageBreak/>
        <w:t xml:space="preserve">Table 2 shows that most of the surveyed directors </w:t>
      </w:r>
      <w:r>
        <w:rPr>
          <w:i/>
          <w:color w:val="000000"/>
        </w:rPr>
        <w:t xml:space="preserve">very often </w:t>
      </w:r>
      <w:r>
        <w:rPr>
          <w:color w:val="000000"/>
        </w:rPr>
        <w:t>(57.3%) perceive that SMEs have good intellectual capital because of their employees. [INSERT TABLE 2 HERE].</w:t>
      </w:r>
    </w:p>
    <w:p w14:paraId="66148B26" w14:textId="77777777" w:rsidR="00682951" w:rsidRDefault="00CC4351">
      <w:pPr>
        <w:pBdr>
          <w:top w:val="nil"/>
          <w:left w:val="nil"/>
          <w:bottom w:val="nil"/>
          <w:right w:val="nil"/>
          <w:between w:val="nil"/>
        </w:pBdr>
        <w:spacing w:line="480" w:lineRule="auto"/>
        <w:ind w:firstLine="426"/>
        <w:jc w:val="both"/>
        <w:rPr>
          <w:color w:val="000000"/>
        </w:rPr>
      </w:pPr>
      <w:r>
        <w:rPr>
          <w:color w:val="000000"/>
        </w:rPr>
        <w:t xml:space="preserve"> Table 3 shows the frequencies of business reengineering by employees and that changes in work tasks and more efficient activities are </w:t>
      </w:r>
      <w:r>
        <w:rPr>
          <w:i/>
          <w:color w:val="000000"/>
        </w:rPr>
        <w:t xml:space="preserve">very often </w:t>
      </w:r>
      <w:r>
        <w:rPr>
          <w:color w:val="000000"/>
        </w:rPr>
        <w:t>(54.4%) promoted (business reengineering). [INSERT TABLE 3 HERE].</w:t>
      </w:r>
    </w:p>
    <w:p w14:paraId="3D2B1356" w14:textId="77777777" w:rsidR="00682951" w:rsidRDefault="00CC4351">
      <w:pPr>
        <w:pBdr>
          <w:top w:val="nil"/>
          <w:left w:val="nil"/>
          <w:bottom w:val="nil"/>
          <w:right w:val="nil"/>
          <w:between w:val="nil"/>
        </w:pBdr>
        <w:spacing w:line="480" w:lineRule="auto"/>
        <w:ind w:firstLine="708"/>
        <w:jc w:val="both"/>
        <w:rPr>
          <w:color w:val="000000"/>
        </w:rPr>
      </w:pPr>
      <w:r>
        <w:rPr>
          <w:color w:val="000000"/>
        </w:rPr>
        <w:t xml:space="preserve">Table 4 shows the frequencies of the perception of SMEs performance and that most directors view that SMEs </w:t>
      </w:r>
      <w:r>
        <w:rPr>
          <w:i/>
          <w:color w:val="000000"/>
        </w:rPr>
        <w:t xml:space="preserve">very often </w:t>
      </w:r>
      <w:r>
        <w:rPr>
          <w:color w:val="000000"/>
        </w:rPr>
        <w:t xml:space="preserve">(50%) have efficient performance. [INSERT TABLE 4 HERE].   </w:t>
      </w:r>
    </w:p>
    <w:p w14:paraId="38919E9D" w14:textId="77777777" w:rsidR="00682951" w:rsidRDefault="00CC4351">
      <w:pPr>
        <w:numPr>
          <w:ilvl w:val="0"/>
          <w:numId w:val="1"/>
        </w:numPr>
        <w:pBdr>
          <w:top w:val="nil"/>
          <w:left w:val="nil"/>
          <w:bottom w:val="nil"/>
          <w:right w:val="nil"/>
          <w:between w:val="nil"/>
        </w:pBdr>
        <w:spacing w:line="480" w:lineRule="auto"/>
        <w:rPr>
          <w:b/>
          <w:color w:val="000000"/>
        </w:rPr>
      </w:pPr>
      <w:r>
        <w:rPr>
          <w:b/>
          <w:color w:val="000000"/>
        </w:rPr>
        <w:t xml:space="preserve">Model Analysis </w:t>
      </w:r>
    </w:p>
    <w:p w14:paraId="457EB4BE" w14:textId="77777777" w:rsidR="00682951" w:rsidRDefault="00CC4351">
      <w:pPr>
        <w:pBdr>
          <w:top w:val="nil"/>
          <w:left w:val="nil"/>
          <w:bottom w:val="nil"/>
          <w:right w:val="nil"/>
          <w:between w:val="nil"/>
        </w:pBdr>
        <w:spacing w:line="480" w:lineRule="auto"/>
        <w:jc w:val="both"/>
        <w:rPr>
          <w:color w:val="000000"/>
        </w:rPr>
      </w:pPr>
      <w:bookmarkStart w:id="3" w:name="_2et92p0" w:colFirst="0" w:colLast="0"/>
      <w:bookmarkEnd w:id="3"/>
      <w:r>
        <w:rPr>
          <w:color w:val="000000"/>
        </w:rPr>
        <w:t xml:space="preserve">Pérez, Medrano and Sánchez Rosas (2013) mentioned that when SEM is used the following steps are usually followed: specification, identification, parameter estimation, fit assessment and interpretation of results.  </w:t>
      </w:r>
    </w:p>
    <w:p w14:paraId="28E8B058" w14:textId="77777777" w:rsidR="00682951" w:rsidRDefault="00CC4351">
      <w:pPr>
        <w:pBdr>
          <w:top w:val="nil"/>
          <w:left w:val="nil"/>
          <w:bottom w:val="nil"/>
          <w:right w:val="nil"/>
          <w:between w:val="nil"/>
        </w:pBdr>
        <w:spacing w:line="480" w:lineRule="auto"/>
        <w:ind w:firstLine="432"/>
        <w:jc w:val="both"/>
        <w:rPr>
          <w:color w:val="000000"/>
        </w:rPr>
      </w:pPr>
      <w:r>
        <w:rPr>
          <w:color w:val="000000"/>
        </w:rPr>
        <w:t xml:space="preserve">Regarding the specification of the model, the intent is to prove the following: (a) intellectual capital directly influences the business model, (b) intellectual capital and the business model directly influence business reengineering and (c) intellectual capital and business reengineering directly influence business performance.   </w:t>
      </w:r>
    </w:p>
    <w:p w14:paraId="01C1F936" w14:textId="77777777" w:rsidR="00682951" w:rsidRDefault="00CC4351">
      <w:pPr>
        <w:pBdr>
          <w:top w:val="nil"/>
          <w:left w:val="nil"/>
          <w:bottom w:val="nil"/>
          <w:right w:val="nil"/>
          <w:between w:val="nil"/>
        </w:pBdr>
        <w:spacing w:line="480" w:lineRule="auto"/>
        <w:ind w:firstLine="432"/>
        <w:jc w:val="both"/>
        <w:rPr>
          <w:color w:val="000000"/>
        </w:rPr>
      </w:pPr>
      <w:r>
        <w:rPr>
          <w:color w:val="000000"/>
        </w:rPr>
        <w:t xml:space="preserve">The model is specified using the structural equations that describe the direct relationships between variables. More specifically, one equation is used for each endogenous variable, and the standardized coefficients are used. The equations are the following.  [INSERT FIGURE 2 HERE]       </w:t>
      </w:r>
    </w:p>
    <w:p w14:paraId="09824CE9" w14:textId="77777777" w:rsidR="00682951" w:rsidRDefault="00CC4351">
      <w:pPr>
        <w:numPr>
          <w:ilvl w:val="0"/>
          <w:numId w:val="3"/>
        </w:numPr>
        <w:pBdr>
          <w:top w:val="nil"/>
          <w:left w:val="nil"/>
          <w:bottom w:val="nil"/>
          <w:right w:val="nil"/>
          <w:between w:val="nil"/>
        </w:pBdr>
        <w:jc w:val="both"/>
        <w:rPr>
          <w:color w:val="000000"/>
          <w:highlight w:val="green"/>
        </w:rPr>
      </w:pPr>
      <w:r>
        <w:rPr>
          <w:color w:val="000000"/>
          <w:highlight w:val="green"/>
        </w:rPr>
        <w:t xml:space="preserve">Business model (BM): BM= </w:t>
      </w:r>
      <w:proofErr w:type="spellStart"/>
      <w:r>
        <w:rPr>
          <w:color w:val="000000"/>
          <w:highlight w:val="green"/>
        </w:rPr>
        <w:t>pICBM</w:t>
      </w:r>
      <w:proofErr w:type="spellEnd"/>
      <w:r>
        <w:rPr>
          <w:color w:val="000000"/>
          <w:highlight w:val="green"/>
        </w:rPr>
        <w:t xml:space="preserve">+ </w:t>
      </w:r>
      <w:proofErr w:type="spellStart"/>
      <w:r>
        <w:rPr>
          <w:color w:val="000000"/>
          <w:highlight w:val="green"/>
        </w:rPr>
        <w:t>eBM</w:t>
      </w:r>
      <w:proofErr w:type="spellEnd"/>
      <w:r>
        <w:rPr>
          <w:color w:val="000000"/>
          <w:highlight w:val="green"/>
        </w:rPr>
        <w:t xml:space="preserve"> </w:t>
      </w:r>
    </w:p>
    <w:p w14:paraId="66CD3447" w14:textId="77777777" w:rsidR="00682951" w:rsidRDefault="00CC4351">
      <w:pPr>
        <w:pBdr>
          <w:top w:val="nil"/>
          <w:left w:val="nil"/>
          <w:bottom w:val="nil"/>
          <w:right w:val="nil"/>
          <w:between w:val="nil"/>
        </w:pBdr>
        <w:jc w:val="both"/>
        <w:rPr>
          <w:color w:val="000000"/>
          <w:sz w:val="20"/>
          <w:szCs w:val="20"/>
          <w:highlight w:val="green"/>
        </w:rPr>
      </w:pPr>
      <w:r>
        <w:rPr>
          <w:color w:val="000000"/>
          <w:sz w:val="20"/>
          <w:szCs w:val="20"/>
          <w:highlight w:val="green"/>
        </w:rPr>
        <w:t>(Business model = probability of intellectual capital and business model + error of business model)</w:t>
      </w:r>
    </w:p>
    <w:p w14:paraId="695B6A03" w14:textId="77777777" w:rsidR="00682951" w:rsidRDefault="00682951">
      <w:pPr>
        <w:pBdr>
          <w:top w:val="nil"/>
          <w:left w:val="nil"/>
          <w:bottom w:val="nil"/>
          <w:right w:val="nil"/>
          <w:between w:val="nil"/>
        </w:pBdr>
        <w:jc w:val="both"/>
        <w:rPr>
          <w:color w:val="000000"/>
          <w:sz w:val="20"/>
          <w:szCs w:val="20"/>
          <w:highlight w:val="green"/>
        </w:rPr>
      </w:pPr>
    </w:p>
    <w:p w14:paraId="72FEEB06" w14:textId="77777777" w:rsidR="00682951" w:rsidRDefault="00CC4351">
      <w:pPr>
        <w:numPr>
          <w:ilvl w:val="0"/>
          <w:numId w:val="3"/>
        </w:numPr>
        <w:pBdr>
          <w:top w:val="nil"/>
          <w:left w:val="nil"/>
          <w:bottom w:val="nil"/>
          <w:right w:val="nil"/>
          <w:between w:val="nil"/>
        </w:pBdr>
        <w:jc w:val="both"/>
        <w:rPr>
          <w:color w:val="000000"/>
          <w:highlight w:val="green"/>
        </w:rPr>
      </w:pPr>
      <w:r>
        <w:rPr>
          <w:color w:val="000000"/>
          <w:highlight w:val="green"/>
        </w:rPr>
        <w:t xml:space="preserve">Business reengineering (BRE): BRE= </w:t>
      </w:r>
      <w:proofErr w:type="spellStart"/>
      <w:r>
        <w:rPr>
          <w:color w:val="000000"/>
          <w:highlight w:val="green"/>
        </w:rPr>
        <w:t>pBMBRE</w:t>
      </w:r>
      <w:proofErr w:type="spellEnd"/>
      <w:r>
        <w:rPr>
          <w:color w:val="000000"/>
          <w:highlight w:val="green"/>
        </w:rPr>
        <w:t xml:space="preserve"> + </w:t>
      </w:r>
      <w:proofErr w:type="spellStart"/>
      <w:r>
        <w:rPr>
          <w:color w:val="000000"/>
          <w:highlight w:val="green"/>
        </w:rPr>
        <w:t>pICBRE</w:t>
      </w:r>
      <w:proofErr w:type="spellEnd"/>
      <w:r>
        <w:rPr>
          <w:color w:val="000000"/>
          <w:highlight w:val="green"/>
        </w:rPr>
        <w:t xml:space="preserve"> + </w:t>
      </w:r>
      <w:proofErr w:type="spellStart"/>
      <w:r>
        <w:rPr>
          <w:color w:val="000000"/>
          <w:highlight w:val="green"/>
        </w:rPr>
        <w:t>eBRE</w:t>
      </w:r>
      <w:proofErr w:type="spellEnd"/>
    </w:p>
    <w:p w14:paraId="388B41A3" w14:textId="77777777" w:rsidR="00682951" w:rsidRDefault="00CC4351">
      <w:pPr>
        <w:pBdr>
          <w:top w:val="nil"/>
          <w:left w:val="nil"/>
          <w:bottom w:val="nil"/>
          <w:right w:val="nil"/>
          <w:between w:val="nil"/>
        </w:pBdr>
        <w:jc w:val="both"/>
        <w:rPr>
          <w:color w:val="000000"/>
          <w:sz w:val="20"/>
          <w:szCs w:val="20"/>
          <w:highlight w:val="green"/>
        </w:rPr>
      </w:pPr>
      <w:r>
        <w:rPr>
          <w:color w:val="000000"/>
          <w:sz w:val="20"/>
          <w:szCs w:val="20"/>
          <w:highlight w:val="green"/>
        </w:rPr>
        <w:t>(Business reengineering = probability of business model and business reengineering + probability of intellectual capital and business reengineering + error of business reengineering)</w:t>
      </w:r>
    </w:p>
    <w:p w14:paraId="5161D8D0" w14:textId="77777777" w:rsidR="00682951" w:rsidRDefault="00682951">
      <w:pPr>
        <w:pBdr>
          <w:top w:val="nil"/>
          <w:left w:val="nil"/>
          <w:bottom w:val="nil"/>
          <w:right w:val="nil"/>
          <w:between w:val="nil"/>
        </w:pBdr>
        <w:jc w:val="both"/>
        <w:rPr>
          <w:color w:val="000000"/>
          <w:sz w:val="20"/>
          <w:szCs w:val="20"/>
          <w:highlight w:val="green"/>
        </w:rPr>
      </w:pPr>
    </w:p>
    <w:p w14:paraId="31C79228" w14:textId="77777777" w:rsidR="00682951" w:rsidRDefault="00CC4351">
      <w:pPr>
        <w:numPr>
          <w:ilvl w:val="0"/>
          <w:numId w:val="3"/>
        </w:numPr>
        <w:pBdr>
          <w:top w:val="nil"/>
          <w:left w:val="nil"/>
          <w:bottom w:val="nil"/>
          <w:right w:val="nil"/>
          <w:between w:val="nil"/>
        </w:pBdr>
        <w:jc w:val="both"/>
        <w:rPr>
          <w:color w:val="000000"/>
          <w:highlight w:val="green"/>
        </w:rPr>
      </w:pPr>
      <w:r>
        <w:rPr>
          <w:color w:val="000000"/>
          <w:highlight w:val="green"/>
        </w:rPr>
        <w:t xml:space="preserve">Business performance (BP): BP= </w:t>
      </w:r>
      <w:proofErr w:type="spellStart"/>
      <w:r>
        <w:rPr>
          <w:color w:val="000000"/>
          <w:highlight w:val="green"/>
        </w:rPr>
        <w:t>pICBP</w:t>
      </w:r>
      <w:proofErr w:type="spellEnd"/>
      <w:r>
        <w:rPr>
          <w:color w:val="000000"/>
          <w:highlight w:val="green"/>
        </w:rPr>
        <w:t xml:space="preserve"> + </w:t>
      </w:r>
      <w:proofErr w:type="spellStart"/>
      <w:r>
        <w:rPr>
          <w:color w:val="000000"/>
          <w:highlight w:val="green"/>
        </w:rPr>
        <w:t>pBREBP</w:t>
      </w:r>
      <w:proofErr w:type="spellEnd"/>
      <w:r>
        <w:rPr>
          <w:color w:val="000000"/>
          <w:highlight w:val="green"/>
        </w:rPr>
        <w:t xml:space="preserve"> + </w:t>
      </w:r>
      <w:proofErr w:type="spellStart"/>
      <w:r>
        <w:rPr>
          <w:color w:val="000000"/>
          <w:highlight w:val="green"/>
        </w:rPr>
        <w:t>eBP</w:t>
      </w:r>
      <w:proofErr w:type="spellEnd"/>
    </w:p>
    <w:p w14:paraId="503EE644" w14:textId="77777777" w:rsidR="00682951" w:rsidRDefault="00CC4351">
      <w:pPr>
        <w:pBdr>
          <w:top w:val="nil"/>
          <w:left w:val="nil"/>
          <w:bottom w:val="nil"/>
          <w:right w:val="nil"/>
          <w:between w:val="nil"/>
        </w:pBdr>
        <w:jc w:val="both"/>
        <w:rPr>
          <w:color w:val="000000"/>
          <w:sz w:val="20"/>
          <w:szCs w:val="20"/>
        </w:rPr>
      </w:pPr>
      <w:r>
        <w:rPr>
          <w:color w:val="000000"/>
          <w:sz w:val="20"/>
          <w:szCs w:val="20"/>
          <w:highlight w:val="green"/>
        </w:rPr>
        <w:t>(Business performance= probability of intellectual capital and business performance + probability of business reengineering and business performance + error of business performance)</w:t>
      </w:r>
      <w:r>
        <w:rPr>
          <w:color w:val="000000"/>
          <w:sz w:val="20"/>
          <w:szCs w:val="20"/>
        </w:rPr>
        <w:t xml:space="preserve">  </w:t>
      </w:r>
    </w:p>
    <w:p w14:paraId="1814A176" w14:textId="77777777" w:rsidR="00682951" w:rsidRDefault="00682951">
      <w:pPr>
        <w:pBdr>
          <w:top w:val="nil"/>
          <w:left w:val="nil"/>
          <w:bottom w:val="nil"/>
          <w:right w:val="nil"/>
          <w:between w:val="nil"/>
        </w:pBdr>
        <w:spacing w:line="276" w:lineRule="auto"/>
        <w:ind w:firstLine="426"/>
        <w:jc w:val="both"/>
        <w:rPr>
          <w:color w:val="000000"/>
        </w:rPr>
      </w:pPr>
    </w:p>
    <w:p w14:paraId="6A82EEC7" w14:textId="77777777" w:rsidR="00682951" w:rsidRDefault="00CC4351">
      <w:pPr>
        <w:pBdr>
          <w:top w:val="nil"/>
          <w:left w:val="nil"/>
          <w:bottom w:val="nil"/>
          <w:right w:val="nil"/>
          <w:between w:val="nil"/>
        </w:pBdr>
        <w:spacing w:line="480" w:lineRule="auto"/>
        <w:ind w:firstLine="426"/>
        <w:jc w:val="both"/>
        <w:rPr>
          <w:color w:val="000000"/>
        </w:rPr>
      </w:pPr>
      <w:r>
        <w:rPr>
          <w:color w:val="000000"/>
        </w:rPr>
        <w:lastRenderedPageBreak/>
        <w:t>The model is overidentified since the degrees of freedom are greater than zero, which indicates that the model can be estimated and contrasted.</w:t>
      </w:r>
    </w:p>
    <w:p w14:paraId="3C0F2A00" w14:textId="77777777" w:rsidR="00682951" w:rsidRDefault="00CC4351">
      <w:pPr>
        <w:pBdr>
          <w:top w:val="nil"/>
          <w:left w:val="nil"/>
          <w:bottom w:val="nil"/>
          <w:right w:val="nil"/>
          <w:between w:val="nil"/>
        </w:pBdr>
        <w:spacing w:line="480" w:lineRule="auto"/>
        <w:ind w:firstLine="708"/>
        <w:jc w:val="both"/>
        <w:rPr>
          <w:color w:val="000000"/>
        </w:rPr>
      </w:pPr>
      <w:bookmarkStart w:id="4" w:name="_tyjcwt" w:colFirst="0" w:colLast="0"/>
      <w:bookmarkEnd w:id="4"/>
      <w:r>
        <w:rPr>
          <w:color w:val="000000"/>
        </w:rPr>
        <w:t xml:space="preserve">Hair, Anderson, Tatham and Black (2007) note that the goodness of fit index can be used to evaluate the fit of the model. The criteria that are used most often were selected from the list and are the following: </w:t>
      </w:r>
      <w:proofErr w:type="gramStart"/>
      <w:r>
        <w:rPr>
          <w:color w:val="000000"/>
        </w:rPr>
        <w:t>the</w:t>
      </w:r>
      <w:proofErr w:type="gramEnd"/>
      <w:r>
        <w:rPr>
          <w:color w:val="000000"/>
        </w:rPr>
        <w:t xml:space="preserve"> Chi squared (</w:t>
      </w:r>
      <w:r>
        <w:rPr>
          <w:i/>
          <w:color w:val="000000"/>
        </w:rPr>
        <w:t>X</w:t>
      </w:r>
      <w:r>
        <w:rPr>
          <w:i/>
          <w:color w:val="000000"/>
          <w:vertAlign w:val="superscript"/>
        </w:rPr>
        <w:t>2</w:t>
      </w:r>
      <w:r>
        <w:rPr>
          <w:color w:val="000000"/>
        </w:rPr>
        <w:t xml:space="preserve">), the comparative fit index (CFI), the goodness of fit index (GFI) and the root mean squared error of approximation (RMSEA). [INSERT TABLE 5 HERE].   </w:t>
      </w:r>
    </w:p>
    <w:p w14:paraId="2CCB1672" w14:textId="77777777" w:rsidR="00682951" w:rsidRDefault="00CC4351">
      <w:pPr>
        <w:numPr>
          <w:ilvl w:val="0"/>
          <w:numId w:val="1"/>
        </w:numPr>
        <w:pBdr>
          <w:top w:val="nil"/>
          <w:left w:val="nil"/>
          <w:bottom w:val="nil"/>
          <w:right w:val="nil"/>
          <w:between w:val="nil"/>
        </w:pBdr>
        <w:spacing w:line="480" w:lineRule="auto"/>
        <w:rPr>
          <w:b/>
          <w:color w:val="000000"/>
        </w:rPr>
      </w:pPr>
      <w:r>
        <w:rPr>
          <w:b/>
          <w:color w:val="000000"/>
        </w:rPr>
        <w:t>Assumptions</w:t>
      </w:r>
    </w:p>
    <w:p w14:paraId="0628E218" w14:textId="77777777" w:rsidR="00682951" w:rsidRDefault="00CC4351">
      <w:pPr>
        <w:spacing w:line="480" w:lineRule="auto"/>
        <w:jc w:val="both"/>
      </w:pPr>
      <w:r>
        <w:t xml:space="preserve">Before the statistical tests are carried out, it is necessary to examine the data to ensure that the normality criterion is met. The </w:t>
      </w:r>
      <w:proofErr w:type="spellStart"/>
      <w:r>
        <w:t>Mahalanobis</w:t>
      </w:r>
      <w:proofErr w:type="spellEnd"/>
      <w:r>
        <w:t xml:space="preserve"> distance criterion was used to remove outliers. The dataset was cleaned to ensure normality and 27 outliers were eliminated, which left a dataset with 206 responses.          </w:t>
      </w:r>
    </w:p>
    <w:p w14:paraId="69765B8D" w14:textId="77777777" w:rsidR="00682951" w:rsidRDefault="00CC4351">
      <w:pPr>
        <w:numPr>
          <w:ilvl w:val="0"/>
          <w:numId w:val="1"/>
        </w:numPr>
        <w:pBdr>
          <w:top w:val="nil"/>
          <w:left w:val="nil"/>
          <w:bottom w:val="nil"/>
          <w:right w:val="nil"/>
          <w:between w:val="nil"/>
        </w:pBdr>
        <w:spacing w:line="480" w:lineRule="auto"/>
        <w:rPr>
          <w:b/>
          <w:color w:val="000000"/>
        </w:rPr>
      </w:pPr>
      <w:r>
        <w:rPr>
          <w:b/>
          <w:color w:val="000000"/>
        </w:rPr>
        <w:t xml:space="preserve">Null Hypothesis </w:t>
      </w:r>
    </w:p>
    <w:p w14:paraId="7CA33032" w14:textId="77777777" w:rsidR="00682951" w:rsidRDefault="00CC4351">
      <w:pPr>
        <w:spacing w:line="480" w:lineRule="auto"/>
        <w:ind w:firstLine="426"/>
        <w:jc w:val="both"/>
      </w:pPr>
      <w:r>
        <w:t>This section describes the null hypothesis of the research model that was tested using SEM.</w:t>
      </w:r>
    </w:p>
    <w:p w14:paraId="1B7CF7A9" w14:textId="77777777" w:rsidR="00682951" w:rsidRDefault="00CC4351">
      <w:pPr>
        <w:spacing w:line="480" w:lineRule="auto"/>
        <w:ind w:firstLine="426"/>
        <w:jc w:val="both"/>
        <w:rPr>
          <w:color w:val="000000"/>
        </w:rPr>
      </w:pPr>
      <w:r>
        <w:rPr>
          <w:color w:val="000000"/>
        </w:rPr>
        <w:t>H</w:t>
      </w:r>
      <w:r>
        <w:rPr>
          <w:color w:val="000000"/>
          <w:vertAlign w:val="subscript"/>
        </w:rPr>
        <w:t xml:space="preserve">01. </w:t>
      </w:r>
      <w:r>
        <w:rPr>
          <w:color w:val="000000"/>
        </w:rPr>
        <w:t xml:space="preserve">The empirical model in which intellectual capital and business reengineering directly influence business performance and the business model indirectly influences business performance does not have a good fit with the theoretical model, which is based on the perceptions of SMEs directors in Monterrey, Nuevo León, Mexico.      </w:t>
      </w:r>
    </w:p>
    <w:p w14:paraId="2435CDDC" w14:textId="77777777" w:rsidR="00682951" w:rsidRDefault="00CC4351">
      <w:pPr>
        <w:spacing w:line="480" w:lineRule="auto"/>
        <w:ind w:firstLine="426"/>
        <w:jc w:val="both"/>
      </w:pPr>
      <w:bookmarkStart w:id="5" w:name="_3dy6vkm" w:colFirst="0" w:colLast="0"/>
      <w:bookmarkEnd w:id="5"/>
      <w:r>
        <w:t xml:space="preserve">The structural equations and the Amos software were used on the null hypothesis and a good fit was found for the theoretical and empirical model, and the results are as follows: </w:t>
      </w:r>
      <w:r>
        <w:rPr>
          <w:i/>
          <w:color w:val="000000"/>
        </w:rPr>
        <w:t>X</w:t>
      </w:r>
      <w:r>
        <w:rPr>
          <w:i/>
          <w:color w:val="000000"/>
          <w:vertAlign w:val="superscript"/>
        </w:rPr>
        <w:t>2</w:t>
      </w:r>
      <w:r>
        <w:rPr>
          <w:color w:val="000000"/>
          <w:vertAlign w:val="superscript"/>
        </w:rPr>
        <w:t xml:space="preserve"> </w:t>
      </w:r>
      <w:r>
        <w:rPr>
          <w:color w:val="000000"/>
        </w:rPr>
        <w:t xml:space="preserve">= 2.104, </w:t>
      </w:r>
      <w:r>
        <w:rPr>
          <w:i/>
          <w:color w:val="000000"/>
        </w:rPr>
        <w:t>p</w:t>
      </w:r>
      <w:r>
        <w:rPr>
          <w:color w:val="000000"/>
        </w:rPr>
        <w:t xml:space="preserve"> = .147, RMSEA = .073, GFI = .995, NFI = .997, and CFI = .998</w:t>
      </w:r>
      <w:r>
        <w:t>. [INSERT FIGURE 3 HERE]. Table 6 shows the total effect of IC on BP (</w:t>
      </w:r>
      <w:r>
        <w:rPr>
          <w:i/>
          <w:color w:val="000000"/>
        </w:rPr>
        <w:t>β</w:t>
      </w:r>
      <w:r>
        <w:rPr>
          <w:color w:val="000000"/>
        </w:rPr>
        <w:t xml:space="preserve"> = .714), BM on</w:t>
      </w:r>
      <w:r>
        <w:t xml:space="preserve"> BP</w:t>
      </w:r>
      <w:r>
        <w:rPr>
          <w:color w:val="000000"/>
        </w:rPr>
        <w:t xml:space="preserve"> (</w:t>
      </w:r>
      <w:r>
        <w:rPr>
          <w:i/>
          <w:color w:val="000000"/>
        </w:rPr>
        <w:t>β</w:t>
      </w:r>
      <w:r>
        <w:rPr>
          <w:color w:val="000000"/>
        </w:rPr>
        <w:t xml:space="preserve"> = .579) and BRE on</w:t>
      </w:r>
      <w:r>
        <w:t xml:space="preserve"> BP</w:t>
      </w:r>
      <w:r>
        <w:rPr>
          <w:color w:val="000000"/>
        </w:rPr>
        <w:t xml:space="preserve"> (</w:t>
      </w:r>
      <w:r>
        <w:rPr>
          <w:i/>
          <w:color w:val="000000"/>
        </w:rPr>
        <w:t>β</w:t>
      </w:r>
      <w:r>
        <w:rPr>
          <w:color w:val="000000"/>
        </w:rPr>
        <w:t xml:space="preserve"> = .579)</w:t>
      </w:r>
      <w:r>
        <w:t xml:space="preserve">. The proportion of explained variance in the model was acceptable since 62% of the variability of business performance was explained. [INSERT TABLE 6 HERE].      </w:t>
      </w:r>
    </w:p>
    <w:p w14:paraId="3F2744FE" w14:textId="77777777" w:rsidR="00682951" w:rsidRDefault="00CC4351">
      <w:pPr>
        <w:spacing w:line="480" w:lineRule="auto"/>
        <w:ind w:firstLine="426"/>
        <w:jc w:val="both"/>
        <w:rPr>
          <w:color w:val="000000"/>
        </w:rPr>
      </w:pPr>
      <w:bookmarkStart w:id="6" w:name="_1t3h5sf" w:colFirst="0" w:colLast="0"/>
      <w:bookmarkEnd w:id="6"/>
      <w:r>
        <w:rPr>
          <w:color w:val="000000"/>
        </w:rPr>
        <w:lastRenderedPageBreak/>
        <w:t>The direct effect and coefficient of determination (</w:t>
      </w:r>
      <w:r>
        <w:rPr>
          <w:i/>
          <w:color w:val="000000"/>
        </w:rPr>
        <w:t>R</w:t>
      </w:r>
      <w:r>
        <w:rPr>
          <w:i/>
          <w:color w:val="000000"/>
          <w:vertAlign w:val="superscript"/>
        </w:rPr>
        <w:t>2</w:t>
      </w:r>
      <w:r>
        <w:rPr>
          <w:color w:val="000000"/>
        </w:rPr>
        <w:t>) of each endogenous variable are analyzed by the following hypotheses.</w:t>
      </w:r>
    </w:p>
    <w:p w14:paraId="608E9678" w14:textId="77777777" w:rsidR="00682951" w:rsidRDefault="00CC4351">
      <w:pPr>
        <w:spacing w:line="480" w:lineRule="auto"/>
        <w:ind w:firstLine="426"/>
        <w:jc w:val="both"/>
      </w:pPr>
      <w:r>
        <w:t>H</w:t>
      </w:r>
      <w:r>
        <w:rPr>
          <w:vertAlign w:val="subscript"/>
        </w:rPr>
        <w:t>02</w:t>
      </w:r>
      <w:r>
        <w:t>. Intellectual capital (IC) is not a predictor of the business model (BM).</w:t>
      </w:r>
    </w:p>
    <w:p w14:paraId="592F5D66" w14:textId="77777777" w:rsidR="00682951" w:rsidRDefault="00CC4351">
      <w:pPr>
        <w:spacing w:line="480" w:lineRule="auto"/>
        <w:ind w:firstLine="426"/>
        <w:jc w:val="both"/>
        <w:rPr>
          <w:color w:val="000000"/>
        </w:rPr>
      </w:pPr>
      <w:r>
        <w:rPr>
          <w:color w:val="000000"/>
        </w:rPr>
        <w:t xml:space="preserve">According to the path analysis, </w:t>
      </w:r>
      <w:r>
        <w:t>IC</w:t>
      </w:r>
      <w:r>
        <w:rPr>
          <w:color w:val="000000"/>
        </w:rPr>
        <w:t xml:space="preserve"> is a significant predictor of BM (</w:t>
      </w:r>
      <w:r>
        <w:rPr>
          <w:i/>
          <w:color w:val="000000"/>
        </w:rPr>
        <w:t>β</w:t>
      </w:r>
      <w:r>
        <w:rPr>
          <w:color w:val="000000"/>
        </w:rPr>
        <w:t xml:space="preserve"> = .933 and </w:t>
      </w:r>
      <w:r>
        <w:rPr>
          <w:i/>
          <w:color w:val="000000"/>
        </w:rPr>
        <w:t>p</w:t>
      </w:r>
      <w:r>
        <w:rPr>
          <w:color w:val="000000"/>
        </w:rPr>
        <w:t xml:space="preserve"> = .000). The direct effect (</w:t>
      </w:r>
      <w:r>
        <w:rPr>
          <w:i/>
        </w:rPr>
        <w:t>β</w:t>
      </w:r>
      <w:r>
        <w:t xml:space="preserve">) was </w:t>
      </w:r>
      <w:r>
        <w:rPr>
          <w:color w:val="000000"/>
        </w:rPr>
        <w:t xml:space="preserve">equal to .858 and the </w:t>
      </w:r>
      <w:r>
        <w:rPr>
          <w:i/>
        </w:rPr>
        <w:t>R</w:t>
      </w:r>
      <w:r>
        <w:rPr>
          <w:i/>
          <w:vertAlign w:val="superscript"/>
        </w:rPr>
        <w:t xml:space="preserve">2 </w:t>
      </w:r>
      <w:r>
        <w:t xml:space="preserve">was </w:t>
      </w:r>
      <w:r>
        <w:rPr>
          <w:color w:val="000000"/>
        </w:rPr>
        <w:t xml:space="preserve">equal to .736, which indicates that </w:t>
      </w:r>
      <w:r>
        <w:t>IC</w:t>
      </w:r>
      <w:r>
        <w:rPr>
          <w:color w:val="000000"/>
        </w:rPr>
        <w:t xml:space="preserve"> explains 74% of BM’s variance.         </w:t>
      </w:r>
    </w:p>
    <w:p w14:paraId="091EE9CD" w14:textId="77777777" w:rsidR="00682951" w:rsidRDefault="00CC4351">
      <w:pPr>
        <w:spacing w:line="480" w:lineRule="auto"/>
        <w:ind w:firstLine="426"/>
        <w:jc w:val="both"/>
      </w:pPr>
      <w:r>
        <w:t>H</w:t>
      </w:r>
      <w:r>
        <w:rPr>
          <w:vertAlign w:val="subscript"/>
        </w:rPr>
        <w:t>03</w:t>
      </w:r>
      <w:r>
        <w:t xml:space="preserve">. Intellectual capital (IC) and the innovative business model (IBM) are not predictors of business reengineering (BRE).   </w:t>
      </w:r>
    </w:p>
    <w:p w14:paraId="01FC057D" w14:textId="77777777" w:rsidR="00682951" w:rsidRDefault="00CC4351">
      <w:pPr>
        <w:spacing w:line="480" w:lineRule="auto"/>
        <w:ind w:firstLine="426"/>
        <w:jc w:val="both"/>
        <w:rPr>
          <w:color w:val="000000"/>
        </w:rPr>
      </w:pPr>
      <w:r>
        <w:t xml:space="preserve">The regression coefficients showed that IC is a significant predictor of BRE </w:t>
      </w:r>
      <w:r>
        <w:rPr>
          <w:color w:val="000000"/>
        </w:rPr>
        <w:t>(</w:t>
      </w:r>
      <w:r>
        <w:rPr>
          <w:i/>
          <w:color w:val="000000"/>
        </w:rPr>
        <w:t>β</w:t>
      </w:r>
      <w:r>
        <w:rPr>
          <w:color w:val="000000"/>
        </w:rPr>
        <w:t xml:space="preserve"> = .506, </w:t>
      </w:r>
      <w:r>
        <w:rPr>
          <w:i/>
          <w:color w:val="000000"/>
        </w:rPr>
        <w:t>p</w:t>
      </w:r>
      <w:r>
        <w:rPr>
          <w:color w:val="000000"/>
        </w:rPr>
        <w:t xml:space="preserve"> = 0.000) and</w:t>
      </w:r>
      <w:r>
        <w:t xml:space="preserve"> BM is a significant predictor of </w:t>
      </w:r>
      <w:r>
        <w:rPr>
          <w:color w:val="000000"/>
        </w:rPr>
        <w:t>BRE (</w:t>
      </w:r>
      <w:r>
        <w:rPr>
          <w:i/>
          <w:color w:val="000000"/>
        </w:rPr>
        <w:t>β</w:t>
      </w:r>
      <w:r>
        <w:rPr>
          <w:color w:val="000000"/>
        </w:rPr>
        <w:t xml:space="preserve"> = .362, </w:t>
      </w:r>
      <w:r>
        <w:rPr>
          <w:i/>
          <w:color w:val="000000"/>
        </w:rPr>
        <w:t>p</w:t>
      </w:r>
      <w:r>
        <w:rPr>
          <w:color w:val="000000"/>
        </w:rPr>
        <w:t xml:space="preserve"> = 0.000). Table </w:t>
      </w:r>
      <w:r>
        <w:t>6</w:t>
      </w:r>
      <w:r>
        <w:rPr>
          <w:color w:val="000000"/>
        </w:rPr>
        <w:t xml:space="preserve"> shows t</w:t>
      </w:r>
      <w:r>
        <w:t xml:space="preserve">he total, direct and indirect effects. The direct effect of the standardized coefficient of IC on BRE was </w:t>
      </w:r>
      <w:r>
        <w:rPr>
          <w:i/>
          <w:color w:val="000000"/>
        </w:rPr>
        <w:t>β</w:t>
      </w:r>
      <w:r>
        <w:rPr>
          <w:color w:val="000000"/>
        </w:rPr>
        <w:t xml:space="preserve"> = .491</w:t>
      </w:r>
      <w:r>
        <w:t xml:space="preserve"> and of BM on BRE was </w:t>
      </w:r>
      <w:r>
        <w:rPr>
          <w:i/>
          <w:color w:val="000000"/>
        </w:rPr>
        <w:t>β</w:t>
      </w:r>
      <w:r>
        <w:rPr>
          <w:color w:val="000000"/>
        </w:rPr>
        <w:t xml:space="preserve"> = .383</w:t>
      </w:r>
      <w:r>
        <w:t xml:space="preserve">. The </w:t>
      </w:r>
      <w:r>
        <w:rPr>
          <w:i/>
          <w:color w:val="000000"/>
        </w:rPr>
        <w:t>R</w:t>
      </w:r>
      <w:r>
        <w:rPr>
          <w:i/>
          <w:color w:val="000000"/>
          <w:vertAlign w:val="superscript"/>
        </w:rPr>
        <w:t xml:space="preserve">2 </w:t>
      </w:r>
      <w:r>
        <w:t xml:space="preserve">value was .710, which indicates that IC and BM explain 71% of the variance of BM.          </w:t>
      </w:r>
      <w:r>
        <w:rPr>
          <w:color w:val="000000"/>
        </w:rPr>
        <w:t xml:space="preserve"> </w:t>
      </w:r>
    </w:p>
    <w:p w14:paraId="3C6B3FBD" w14:textId="77777777" w:rsidR="00682951" w:rsidRDefault="00CC4351">
      <w:pPr>
        <w:spacing w:line="480" w:lineRule="auto"/>
        <w:ind w:firstLine="426"/>
        <w:jc w:val="both"/>
        <w:rPr>
          <w:color w:val="000000"/>
        </w:rPr>
      </w:pPr>
      <w:r>
        <w:rPr>
          <w:color w:val="000000"/>
        </w:rPr>
        <w:t>H</w:t>
      </w:r>
      <w:r>
        <w:rPr>
          <w:color w:val="000000"/>
          <w:vertAlign w:val="subscript"/>
        </w:rPr>
        <w:t>04</w:t>
      </w:r>
      <w:r>
        <w:rPr>
          <w:color w:val="000000"/>
        </w:rPr>
        <w:t>. Intellectual capital (</w:t>
      </w:r>
      <w:r>
        <w:t>IC</w:t>
      </w:r>
      <w:r>
        <w:rPr>
          <w:color w:val="000000"/>
        </w:rPr>
        <w:t xml:space="preserve">) and business reengineering (BRE) are not direct predictors of business performance (BP). </w:t>
      </w:r>
    </w:p>
    <w:p w14:paraId="7978F965" w14:textId="77777777" w:rsidR="00682951" w:rsidRDefault="00CC4351">
      <w:pPr>
        <w:spacing w:line="480" w:lineRule="auto"/>
        <w:ind w:firstLine="426"/>
        <w:jc w:val="both"/>
        <w:rPr>
          <w:color w:val="000000"/>
        </w:rPr>
      </w:pPr>
      <w:r>
        <w:rPr>
          <w:color w:val="000000"/>
        </w:rPr>
        <w:t xml:space="preserve">This hypothesis was tested using </w:t>
      </w:r>
      <w:r>
        <w:t>IC</w:t>
      </w:r>
      <w:r>
        <w:rPr>
          <w:color w:val="000000"/>
        </w:rPr>
        <w:t xml:space="preserve"> and BRE as direct predictors of business performance. According to the path coefficients analysis, </w:t>
      </w:r>
      <w:r>
        <w:t>IC</w:t>
      </w:r>
      <w:r>
        <w:rPr>
          <w:color w:val="000000"/>
        </w:rPr>
        <w:t xml:space="preserve"> is a significant predictor of</w:t>
      </w:r>
      <w:r>
        <w:t xml:space="preserve"> BP</w:t>
      </w:r>
      <w:r>
        <w:rPr>
          <w:color w:val="000000"/>
        </w:rPr>
        <w:t xml:space="preserve"> (</w:t>
      </w:r>
      <w:r>
        <w:rPr>
          <w:i/>
          <w:color w:val="000000"/>
        </w:rPr>
        <w:t>β</w:t>
      </w:r>
      <w:r>
        <w:rPr>
          <w:color w:val="000000"/>
        </w:rPr>
        <w:t xml:space="preserve"> = .227, </w:t>
      </w:r>
      <w:r>
        <w:rPr>
          <w:i/>
          <w:color w:val="000000"/>
        </w:rPr>
        <w:t>p</w:t>
      </w:r>
      <w:r>
        <w:rPr>
          <w:color w:val="000000"/>
        </w:rPr>
        <w:t xml:space="preserve"> = 0.001) and BRE is also a significant predictor of</w:t>
      </w:r>
      <w:r>
        <w:t xml:space="preserve"> BP</w:t>
      </w:r>
      <w:r>
        <w:rPr>
          <w:color w:val="000000"/>
        </w:rPr>
        <w:t xml:space="preserve"> (</w:t>
      </w:r>
      <w:r>
        <w:rPr>
          <w:i/>
          <w:color w:val="000000"/>
        </w:rPr>
        <w:t>β</w:t>
      </w:r>
      <w:r>
        <w:rPr>
          <w:color w:val="000000"/>
        </w:rPr>
        <w:t xml:space="preserve"> = .532, </w:t>
      </w:r>
      <w:r>
        <w:rPr>
          <w:i/>
          <w:color w:val="000000"/>
        </w:rPr>
        <w:t>p</w:t>
      </w:r>
      <w:r>
        <w:rPr>
          <w:color w:val="000000"/>
        </w:rPr>
        <w:t xml:space="preserve"> = 0.000). The direct effect of </w:t>
      </w:r>
      <w:r>
        <w:t>IC</w:t>
      </w:r>
      <w:r>
        <w:rPr>
          <w:color w:val="000000"/>
        </w:rPr>
        <w:t xml:space="preserve"> on</w:t>
      </w:r>
      <w:r>
        <w:t xml:space="preserve"> BP</w:t>
      </w:r>
      <w:r>
        <w:rPr>
          <w:color w:val="000000"/>
        </w:rPr>
        <w:t xml:space="preserve"> was (</w:t>
      </w:r>
      <w:r>
        <w:rPr>
          <w:i/>
          <w:color w:val="000000"/>
        </w:rPr>
        <w:t>β</w:t>
      </w:r>
      <w:r>
        <w:rPr>
          <w:color w:val="000000"/>
        </w:rPr>
        <w:t xml:space="preserve"> = .240), and the direct effect of BRE on</w:t>
      </w:r>
      <w:r>
        <w:t xml:space="preserve"> BP</w:t>
      </w:r>
      <w:r>
        <w:rPr>
          <w:color w:val="000000"/>
        </w:rPr>
        <w:t xml:space="preserve"> (</w:t>
      </w:r>
      <w:r>
        <w:rPr>
          <w:i/>
          <w:color w:val="000000"/>
        </w:rPr>
        <w:t>β</w:t>
      </w:r>
      <w:r>
        <w:rPr>
          <w:color w:val="000000"/>
        </w:rPr>
        <w:t xml:space="preserve"> = .579). The </w:t>
      </w:r>
      <w:r>
        <w:rPr>
          <w:i/>
          <w:color w:val="000000"/>
        </w:rPr>
        <w:t>R</w:t>
      </w:r>
      <w:r>
        <w:rPr>
          <w:i/>
          <w:color w:val="000000"/>
          <w:vertAlign w:val="superscript"/>
        </w:rPr>
        <w:t xml:space="preserve">2 </w:t>
      </w:r>
      <w:r>
        <w:rPr>
          <w:color w:val="000000"/>
        </w:rPr>
        <w:t xml:space="preserve">was .620, which indicates that </w:t>
      </w:r>
      <w:r>
        <w:t>IC</w:t>
      </w:r>
      <w:r>
        <w:rPr>
          <w:color w:val="000000"/>
        </w:rPr>
        <w:t xml:space="preserve"> and BRE explain 62% of the variance of</w:t>
      </w:r>
      <w:r>
        <w:t xml:space="preserve"> BP</w:t>
      </w:r>
      <w:r>
        <w:rPr>
          <w:color w:val="000000"/>
        </w:rPr>
        <w:t xml:space="preserve">.       </w:t>
      </w:r>
    </w:p>
    <w:p w14:paraId="011B91C7" w14:textId="77777777" w:rsidR="00682951" w:rsidRPr="004E5590" w:rsidRDefault="00CC4351">
      <w:pPr>
        <w:pBdr>
          <w:top w:val="nil"/>
          <w:left w:val="nil"/>
          <w:bottom w:val="nil"/>
          <w:right w:val="nil"/>
          <w:between w:val="nil"/>
        </w:pBdr>
        <w:spacing w:line="480" w:lineRule="auto"/>
        <w:ind w:left="709" w:hanging="709"/>
        <w:jc w:val="center"/>
        <w:rPr>
          <w:b/>
          <w:color w:val="000000"/>
          <w:lang w:val="es-MX"/>
        </w:rPr>
      </w:pPr>
      <w:bookmarkStart w:id="7" w:name="_GoBack"/>
      <w:bookmarkEnd w:id="7"/>
      <w:r w:rsidRPr="004E5590">
        <w:rPr>
          <w:b/>
          <w:color w:val="000000"/>
          <w:lang w:val="es-MX"/>
        </w:rPr>
        <w:t xml:space="preserve">REFERENSES </w:t>
      </w:r>
    </w:p>
    <w:p w14:paraId="19B441D5"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 xml:space="preserve">Abrego Almazán, D., J. Medina Quintero, and M. Sánchez Limón, 2015, “Los sistemas de información en el desempeño organizacional: un marco de factores relevantes”. </w:t>
      </w:r>
      <w:r w:rsidRPr="004E5590">
        <w:rPr>
          <w:i/>
          <w:color w:val="000000"/>
          <w:lang w:val="es-MX"/>
        </w:rPr>
        <w:t>Investigación Administrativa, 44</w:t>
      </w:r>
      <w:r w:rsidRPr="004E5590">
        <w:rPr>
          <w:color w:val="000000"/>
          <w:lang w:val="es-MX"/>
        </w:rPr>
        <w:t>(115), 7-23.</w:t>
      </w:r>
    </w:p>
    <w:p w14:paraId="334E473F" w14:textId="77777777" w:rsidR="00682951" w:rsidRDefault="00CC4351">
      <w:pPr>
        <w:pBdr>
          <w:top w:val="nil"/>
          <w:left w:val="nil"/>
          <w:bottom w:val="nil"/>
          <w:right w:val="nil"/>
          <w:between w:val="nil"/>
        </w:pBdr>
        <w:ind w:left="709" w:hanging="709"/>
        <w:jc w:val="both"/>
        <w:rPr>
          <w:color w:val="000000"/>
        </w:rPr>
      </w:pPr>
      <w:r w:rsidRPr="004E5590">
        <w:rPr>
          <w:color w:val="222222"/>
          <w:highlight w:val="white"/>
          <w:lang w:val="es-MX"/>
        </w:rPr>
        <w:t>Aguayo Delgado, M.I., 2014</w:t>
      </w:r>
      <w:r w:rsidRPr="004E5590">
        <w:rPr>
          <w:color w:val="000000"/>
          <w:lang w:val="es-MX"/>
        </w:rPr>
        <w:t>,</w:t>
      </w:r>
      <w:r w:rsidRPr="004E5590">
        <w:rPr>
          <w:color w:val="222222"/>
          <w:highlight w:val="white"/>
          <w:lang w:val="es-MX"/>
        </w:rPr>
        <w:t> “</w:t>
      </w:r>
      <w:r w:rsidRPr="004E5590">
        <w:rPr>
          <w:i/>
          <w:color w:val="222222"/>
          <w:highlight w:val="white"/>
          <w:lang w:val="es-MX"/>
        </w:rPr>
        <w:t>Evaluación del desempeño empresarial a partir de la organización de los procesos. Caso de estudio en el hotel MP. De la provincia Esmeraldas”</w:t>
      </w:r>
      <w:r w:rsidRPr="004E5590">
        <w:rPr>
          <w:color w:val="222222"/>
          <w:highlight w:val="white"/>
          <w:lang w:val="es-MX"/>
        </w:rPr>
        <w:t xml:space="preserve"> (Tesis de maestría). </w:t>
      </w:r>
      <w:r>
        <w:rPr>
          <w:color w:val="222222"/>
          <w:highlight w:val="white"/>
        </w:rPr>
        <w:t>Universidad de Guayaquil, Guayaquil, Ecuador.</w:t>
      </w:r>
    </w:p>
    <w:p w14:paraId="5D100A13" w14:textId="77777777" w:rsidR="00682951" w:rsidRDefault="00CC4351">
      <w:pPr>
        <w:pBdr>
          <w:top w:val="nil"/>
          <w:left w:val="nil"/>
          <w:bottom w:val="nil"/>
          <w:right w:val="nil"/>
          <w:between w:val="nil"/>
        </w:pBdr>
        <w:ind w:left="709" w:hanging="709"/>
        <w:jc w:val="both"/>
        <w:rPr>
          <w:color w:val="000000"/>
        </w:rPr>
      </w:pPr>
      <w:proofErr w:type="spellStart"/>
      <w:r>
        <w:rPr>
          <w:color w:val="000000"/>
        </w:rPr>
        <w:t>Alegrea</w:t>
      </w:r>
      <w:proofErr w:type="spellEnd"/>
      <w:r>
        <w:rPr>
          <w:color w:val="000000"/>
        </w:rPr>
        <w:t xml:space="preserve">, J., and </w:t>
      </w:r>
      <w:proofErr w:type="spellStart"/>
      <w:proofErr w:type="gramStart"/>
      <w:r>
        <w:rPr>
          <w:color w:val="000000"/>
        </w:rPr>
        <w:t>R.Chiva</w:t>
      </w:r>
      <w:proofErr w:type="spellEnd"/>
      <w:proofErr w:type="gramEnd"/>
      <w:r>
        <w:rPr>
          <w:color w:val="000000"/>
        </w:rPr>
        <w:t xml:space="preserve">, (2008), “Assessing the impact of organizational learning capability on product innovation performance: an empirical test”, </w:t>
      </w:r>
      <w:proofErr w:type="spellStart"/>
      <w:r>
        <w:rPr>
          <w:i/>
          <w:color w:val="000000"/>
        </w:rPr>
        <w:t>Technovation</w:t>
      </w:r>
      <w:proofErr w:type="spellEnd"/>
      <w:r>
        <w:rPr>
          <w:color w:val="000000"/>
        </w:rPr>
        <w:t xml:space="preserve">, </w:t>
      </w:r>
      <w:r>
        <w:rPr>
          <w:i/>
          <w:color w:val="000000"/>
        </w:rPr>
        <w:t>28</w:t>
      </w:r>
      <w:r>
        <w:rPr>
          <w:color w:val="000000"/>
        </w:rPr>
        <w:t>(6), 315-381.</w:t>
      </w:r>
    </w:p>
    <w:p w14:paraId="4B5F565A"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lastRenderedPageBreak/>
        <w:t xml:space="preserve">Arana Solares, I.A., R. </w:t>
      </w:r>
      <w:proofErr w:type="spellStart"/>
      <w:r w:rsidRPr="004E5590">
        <w:rPr>
          <w:color w:val="000000"/>
          <w:lang w:val="es-MX"/>
        </w:rPr>
        <w:t>Alfalla</w:t>
      </w:r>
      <w:proofErr w:type="spellEnd"/>
      <w:r w:rsidRPr="004E5590">
        <w:rPr>
          <w:color w:val="000000"/>
          <w:lang w:val="es-MX"/>
        </w:rPr>
        <w:t xml:space="preserve"> Luque, and J.A.D. Machuca, 2012, “Análisis de las variables que proporcionan una competitividad sostenible de la cadena de suministro.” </w:t>
      </w:r>
      <w:r>
        <w:rPr>
          <w:i/>
          <w:color w:val="000000"/>
        </w:rPr>
        <w:t>Intangible Capital, 8</w:t>
      </w:r>
      <w:r>
        <w:rPr>
          <w:color w:val="000000"/>
        </w:rPr>
        <w:t>(1), 92-122. http://dx.doi.org/10 .3926/ic.255</w:t>
      </w:r>
    </w:p>
    <w:p w14:paraId="23809BF4" w14:textId="77777777" w:rsidR="00682951" w:rsidRDefault="00CC4351">
      <w:pPr>
        <w:pBdr>
          <w:top w:val="nil"/>
          <w:left w:val="nil"/>
          <w:bottom w:val="nil"/>
          <w:right w:val="nil"/>
          <w:between w:val="nil"/>
        </w:pBdr>
        <w:ind w:left="709" w:hanging="709"/>
        <w:jc w:val="both"/>
        <w:rPr>
          <w:color w:val="000000"/>
        </w:rPr>
      </w:pPr>
      <w:r>
        <w:rPr>
          <w:color w:val="000000"/>
        </w:rPr>
        <w:t xml:space="preserve">Austin, D., P.G. </w:t>
      </w:r>
      <w:proofErr w:type="spellStart"/>
      <w:r>
        <w:rPr>
          <w:color w:val="000000"/>
        </w:rPr>
        <w:t>Saleeshya</w:t>
      </w:r>
      <w:proofErr w:type="spellEnd"/>
      <w:r>
        <w:rPr>
          <w:color w:val="000000"/>
        </w:rPr>
        <w:t xml:space="preserve">, and N. Vamsi, 2013, “A model to assess the lean capabilities of automotive industries.” </w:t>
      </w:r>
      <w:r>
        <w:rPr>
          <w:i/>
          <w:color w:val="000000"/>
        </w:rPr>
        <w:t>International</w:t>
      </w:r>
      <w:r>
        <w:rPr>
          <w:color w:val="000000"/>
        </w:rPr>
        <w:t xml:space="preserve"> </w:t>
      </w:r>
      <w:r>
        <w:rPr>
          <w:i/>
          <w:color w:val="000000"/>
        </w:rPr>
        <w:t>Journal of Productivity and Quality Management, 11(</w:t>
      </w:r>
      <w:r>
        <w:rPr>
          <w:color w:val="000000"/>
        </w:rPr>
        <w:t>2), 195-211. doi:10.1504/IJPQM.2013 .052024</w:t>
      </w:r>
    </w:p>
    <w:p w14:paraId="17EBB0A4" w14:textId="77777777" w:rsidR="00682951" w:rsidRPr="004E5590" w:rsidRDefault="00CC4351">
      <w:pPr>
        <w:pBdr>
          <w:top w:val="nil"/>
          <w:left w:val="nil"/>
          <w:bottom w:val="nil"/>
          <w:right w:val="nil"/>
          <w:between w:val="nil"/>
        </w:pBdr>
        <w:ind w:left="709" w:hanging="709"/>
        <w:jc w:val="both"/>
        <w:rPr>
          <w:color w:val="000000"/>
          <w:lang w:val="es-MX"/>
        </w:rPr>
      </w:pPr>
      <w:proofErr w:type="spellStart"/>
      <w:r>
        <w:rPr>
          <w:color w:val="000000"/>
        </w:rPr>
        <w:t>Avci</w:t>
      </w:r>
      <w:proofErr w:type="spellEnd"/>
      <w:r>
        <w:rPr>
          <w:color w:val="000000"/>
        </w:rPr>
        <w:t xml:space="preserve">, U., M. </w:t>
      </w:r>
      <w:proofErr w:type="spellStart"/>
      <w:r>
        <w:rPr>
          <w:color w:val="000000"/>
        </w:rPr>
        <w:t>Madanoglu</w:t>
      </w:r>
      <w:proofErr w:type="spellEnd"/>
      <w:r>
        <w:rPr>
          <w:color w:val="000000"/>
        </w:rPr>
        <w:t xml:space="preserve">, and F. </w:t>
      </w:r>
      <w:proofErr w:type="spellStart"/>
      <w:r>
        <w:rPr>
          <w:color w:val="000000"/>
        </w:rPr>
        <w:t>Okumus</w:t>
      </w:r>
      <w:proofErr w:type="spellEnd"/>
      <w:r>
        <w:rPr>
          <w:color w:val="000000"/>
        </w:rPr>
        <w:t xml:space="preserve">, 2011, “Strategic orientation and performance of tourism firms: Evidence from a developing country.” </w:t>
      </w:r>
      <w:proofErr w:type="spellStart"/>
      <w:r w:rsidRPr="004E5590">
        <w:rPr>
          <w:i/>
          <w:color w:val="000000"/>
          <w:lang w:val="es-MX"/>
        </w:rPr>
        <w:t>Tourism</w:t>
      </w:r>
      <w:proofErr w:type="spellEnd"/>
      <w:r w:rsidRPr="004E5590">
        <w:rPr>
          <w:i/>
          <w:color w:val="000000"/>
          <w:lang w:val="es-MX"/>
        </w:rPr>
        <w:t xml:space="preserve"> Management, 32</w:t>
      </w:r>
      <w:r w:rsidRPr="004E5590">
        <w:rPr>
          <w:color w:val="000000"/>
          <w:lang w:val="es-MX"/>
        </w:rPr>
        <w:t xml:space="preserve">(1), 147-157. </w:t>
      </w:r>
      <w:proofErr w:type="gramStart"/>
      <w:r w:rsidRPr="004E5590">
        <w:rPr>
          <w:color w:val="000000"/>
          <w:lang w:val="es-MX"/>
        </w:rPr>
        <w:t>doi:10.1016/j.tourman</w:t>
      </w:r>
      <w:proofErr w:type="gramEnd"/>
      <w:r w:rsidRPr="004E5590">
        <w:rPr>
          <w:color w:val="000000"/>
          <w:lang w:val="es-MX"/>
        </w:rPr>
        <w:t>.2010.01.017</w:t>
      </w:r>
    </w:p>
    <w:p w14:paraId="47E4449E"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Banco Bilbao Vizcaya Argentaria Bancomer. (2015). Viaje y punto. Recuperado de http://www.viajeypunto.com.mx/experiência.html?id=1288.</w:t>
      </w:r>
    </w:p>
    <w:p w14:paraId="1B292E5A"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t>Basurto Gutiérrez, K.S., 2016, “</w:t>
      </w:r>
      <w:r w:rsidRPr="004E5590">
        <w:rPr>
          <w:i/>
          <w:color w:val="000000"/>
          <w:lang w:val="es-MX"/>
        </w:rPr>
        <w:t>Modelo de asociación entre factores de ventaja competitiva y desempeño empresarial validado con directivos de empresas de Monterrey, Nuevo León”</w:t>
      </w:r>
      <w:r w:rsidRPr="004E5590">
        <w:rPr>
          <w:color w:val="000000"/>
          <w:lang w:val="es-MX"/>
        </w:rPr>
        <w:t xml:space="preserve"> (Tesis doctoral). </w:t>
      </w:r>
      <w:r>
        <w:rPr>
          <w:color w:val="000000"/>
        </w:rPr>
        <w:t xml:space="preserve">Universidad de </w:t>
      </w:r>
      <w:proofErr w:type="spellStart"/>
      <w:r>
        <w:rPr>
          <w:color w:val="000000"/>
        </w:rPr>
        <w:t>Montemorelos</w:t>
      </w:r>
      <w:proofErr w:type="spellEnd"/>
      <w:r>
        <w:rPr>
          <w:color w:val="000000"/>
        </w:rPr>
        <w:t xml:space="preserve">, </w:t>
      </w:r>
      <w:proofErr w:type="spellStart"/>
      <w:r>
        <w:rPr>
          <w:color w:val="000000"/>
        </w:rPr>
        <w:t>Montemorelos</w:t>
      </w:r>
      <w:proofErr w:type="spellEnd"/>
      <w:r>
        <w:rPr>
          <w:color w:val="000000"/>
        </w:rPr>
        <w:t>, México.</w:t>
      </w:r>
    </w:p>
    <w:p w14:paraId="15E3FB14" w14:textId="77777777" w:rsidR="00682951" w:rsidRDefault="00CC4351">
      <w:pPr>
        <w:pBdr>
          <w:top w:val="nil"/>
          <w:left w:val="nil"/>
          <w:bottom w:val="nil"/>
          <w:right w:val="nil"/>
          <w:between w:val="nil"/>
        </w:pBdr>
        <w:ind w:left="709" w:hanging="709"/>
        <w:jc w:val="both"/>
        <w:rPr>
          <w:color w:val="000000"/>
        </w:rPr>
      </w:pPr>
      <w:proofErr w:type="spellStart"/>
      <w:r>
        <w:rPr>
          <w:color w:val="000000"/>
        </w:rPr>
        <w:t>Berezinets</w:t>
      </w:r>
      <w:proofErr w:type="spellEnd"/>
      <w:r>
        <w:rPr>
          <w:color w:val="000000"/>
        </w:rPr>
        <w:t xml:space="preserve">, I., T. </w:t>
      </w:r>
      <w:proofErr w:type="spellStart"/>
      <w:r>
        <w:rPr>
          <w:color w:val="000000"/>
        </w:rPr>
        <w:t>Garanina</w:t>
      </w:r>
      <w:proofErr w:type="spellEnd"/>
      <w:r>
        <w:rPr>
          <w:color w:val="000000"/>
        </w:rPr>
        <w:t xml:space="preserve">, and Y. </w:t>
      </w:r>
      <w:proofErr w:type="spellStart"/>
      <w:r>
        <w:rPr>
          <w:color w:val="000000"/>
        </w:rPr>
        <w:t>Ilina</w:t>
      </w:r>
      <w:proofErr w:type="spellEnd"/>
      <w:r>
        <w:rPr>
          <w:color w:val="000000"/>
        </w:rPr>
        <w:t xml:space="preserve">, 2016, “Intellectual capital of a board of directors and its elements: introduction to the concepts”. </w:t>
      </w:r>
      <w:r>
        <w:rPr>
          <w:i/>
          <w:color w:val="000000"/>
        </w:rPr>
        <w:t>Journal of Intellectual Capital, 17</w:t>
      </w:r>
      <w:r>
        <w:rPr>
          <w:color w:val="000000"/>
        </w:rPr>
        <w:t>(4), 632-653. DOI: 10.1108/JIC01-2016-0003</w:t>
      </w:r>
    </w:p>
    <w:p w14:paraId="6623F393" w14:textId="77777777" w:rsidR="00682951" w:rsidRDefault="00CC4351">
      <w:pPr>
        <w:ind w:left="709" w:hanging="709"/>
      </w:pPr>
      <w:r>
        <w:t xml:space="preserve">Bessant, J., and J. Tidd, 2007. </w:t>
      </w:r>
      <w:r>
        <w:rPr>
          <w:i/>
        </w:rPr>
        <w:t xml:space="preserve">Innovation and </w:t>
      </w:r>
      <w:proofErr w:type="spellStart"/>
      <w:proofErr w:type="gramStart"/>
      <w:r>
        <w:rPr>
          <w:i/>
        </w:rPr>
        <w:t>Entrepreneurship,</w:t>
      </w:r>
      <w:r>
        <w:t>Wiley</w:t>
      </w:r>
      <w:proofErr w:type="spellEnd"/>
      <w:proofErr w:type="gramEnd"/>
      <w:r>
        <w:t>: Chichester, UK.</w:t>
      </w:r>
    </w:p>
    <w:p w14:paraId="0C4428EB" w14:textId="77777777" w:rsidR="00682951" w:rsidRDefault="00CC4351">
      <w:pPr>
        <w:pBdr>
          <w:top w:val="nil"/>
          <w:left w:val="nil"/>
          <w:bottom w:val="nil"/>
          <w:right w:val="nil"/>
          <w:between w:val="nil"/>
        </w:pBdr>
        <w:ind w:left="709" w:hanging="709"/>
        <w:jc w:val="both"/>
        <w:rPr>
          <w:color w:val="000000"/>
        </w:rPr>
      </w:pPr>
      <w:proofErr w:type="spellStart"/>
      <w:r>
        <w:rPr>
          <w:color w:val="000000"/>
        </w:rPr>
        <w:t>Bontis</w:t>
      </w:r>
      <w:proofErr w:type="spellEnd"/>
      <w:r>
        <w:rPr>
          <w:color w:val="000000"/>
        </w:rPr>
        <w:t xml:space="preserve">, N., W. Chua, and S. Richardson, 2000, “Intellectual capital and business performance in Malaysian industries.” </w:t>
      </w:r>
      <w:r>
        <w:rPr>
          <w:i/>
          <w:color w:val="000000"/>
        </w:rPr>
        <w:t>Journal of Intellectual Capital</w:t>
      </w:r>
      <w:r>
        <w:rPr>
          <w:color w:val="000000"/>
        </w:rPr>
        <w:t>,</w:t>
      </w:r>
      <w:r>
        <w:rPr>
          <w:i/>
          <w:color w:val="000000"/>
        </w:rPr>
        <w:t xml:space="preserve"> 1</w:t>
      </w:r>
      <w:r>
        <w:rPr>
          <w:color w:val="000000"/>
        </w:rPr>
        <w:t xml:space="preserve"> (1), 85-100. https://doi.org/10.1108/14691930010324188</w:t>
      </w:r>
    </w:p>
    <w:p w14:paraId="2DE28308" w14:textId="77777777" w:rsidR="00682951" w:rsidRDefault="00CC4351">
      <w:pPr>
        <w:pBdr>
          <w:top w:val="nil"/>
          <w:left w:val="nil"/>
          <w:bottom w:val="nil"/>
          <w:right w:val="nil"/>
          <w:between w:val="nil"/>
        </w:pBdr>
        <w:ind w:left="709" w:hanging="709"/>
        <w:jc w:val="both"/>
        <w:rPr>
          <w:color w:val="000000"/>
        </w:rPr>
      </w:pPr>
      <w:proofErr w:type="spellStart"/>
      <w:r>
        <w:rPr>
          <w:color w:val="000000"/>
        </w:rPr>
        <w:t>Börjesson</w:t>
      </w:r>
      <w:proofErr w:type="spellEnd"/>
      <w:r>
        <w:rPr>
          <w:color w:val="000000"/>
        </w:rPr>
        <w:t xml:space="preserve">, S., M. </w:t>
      </w:r>
      <w:proofErr w:type="spellStart"/>
      <w:r>
        <w:rPr>
          <w:color w:val="000000"/>
        </w:rPr>
        <w:t>Elmquist</w:t>
      </w:r>
      <w:proofErr w:type="spellEnd"/>
      <w:r>
        <w:rPr>
          <w:color w:val="000000"/>
        </w:rPr>
        <w:t xml:space="preserve">, and S. </w:t>
      </w:r>
      <w:proofErr w:type="spellStart"/>
      <w:r>
        <w:rPr>
          <w:color w:val="000000"/>
        </w:rPr>
        <w:t>Hooge</w:t>
      </w:r>
      <w:proofErr w:type="spellEnd"/>
      <w:r>
        <w:rPr>
          <w:color w:val="000000"/>
        </w:rPr>
        <w:t xml:space="preserve">, 2014, “The challenges of innovation capability building: learning from longitudinal studies of innovation efforts at Renault and Volvo Cars”, </w:t>
      </w:r>
      <w:r>
        <w:rPr>
          <w:i/>
          <w:color w:val="000000"/>
        </w:rPr>
        <w:t>Journal of Engineering and Technology Management, 31(</w:t>
      </w:r>
      <w:r>
        <w:rPr>
          <w:color w:val="000000"/>
        </w:rPr>
        <w:t>January-March), 120-140.</w:t>
      </w:r>
    </w:p>
    <w:p w14:paraId="65C9A491" w14:textId="77777777" w:rsidR="00682951" w:rsidRPr="004E5590" w:rsidRDefault="00CC4351">
      <w:pPr>
        <w:pBdr>
          <w:top w:val="nil"/>
          <w:left w:val="nil"/>
          <w:bottom w:val="nil"/>
          <w:right w:val="nil"/>
          <w:between w:val="nil"/>
        </w:pBdr>
        <w:ind w:left="709" w:hanging="709"/>
        <w:jc w:val="both"/>
        <w:rPr>
          <w:color w:val="000000"/>
          <w:lang w:val="es-MX"/>
        </w:rPr>
      </w:pPr>
      <w:proofErr w:type="spellStart"/>
      <w:r w:rsidRPr="004E5590">
        <w:rPr>
          <w:color w:val="000000"/>
          <w:lang w:val="es-MX"/>
        </w:rPr>
        <w:t>Brooking</w:t>
      </w:r>
      <w:proofErr w:type="spellEnd"/>
      <w:r w:rsidRPr="004E5590">
        <w:rPr>
          <w:color w:val="000000"/>
          <w:lang w:val="es-MX"/>
        </w:rPr>
        <w:t xml:space="preserve">, A., 1997, </w:t>
      </w:r>
      <w:r w:rsidRPr="004E5590">
        <w:rPr>
          <w:i/>
          <w:color w:val="000000"/>
          <w:lang w:val="es-MX"/>
        </w:rPr>
        <w:t xml:space="preserve">El capital intelectual. </w:t>
      </w:r>
      <w:r w:rsidRPr="004E5590">
        <w:rPr>
          <w:color w:val="000000"/>
          <w:lang w:val="es-MX"/>
        </w:rPr>
        <w:t>Barcelona</w:t>
      </w:r>
      <w:r w:rsidRPr="004E5590">
        <w:rPr>
          <w:i/>
          <w:color w:val="000000"/>
          <w:lang w:val="es-MX"/>
        </w:rPr>
        <w:t xml:space="preserve">, </w:t>
      </w:r>
      <w:r w:rsidRPr="004E5590">
        <w:rPr>
          <w:color w:val="000000"/>
          <w:lang w:val="es-MX"/>
        </w:rPr>
        <w:t xml:space="preserve">España: Paidós </w:t>
      </w:r>
    </w:p>
    <w:p w14:paraId="03BB46A4"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 xml:space="preserve">Bueno Campos, E., 1998, “El capital intangible como clave estratégica en la competencia actual.” </w:t>
      </w:r>
      <w:r w:rsidRPr="004E5590">
        <w:rPr>
          <w:i/>
          <w:color w:val="000000"/>
          <w:lang w:val="es-MX"/>
        </w:rPr>
        <w:t>Boletín de Estudios Económicos,</w:t>
      </w:r>
      <w:r w:rsidRPr="004E5590">
        <w:rPr>
          <w:color w:val="000000"/>
          <w:lang w:val="es-MX"/>
        </w:rPr>
        <w:t xml:space="preserve"> </w:t>
      </w:r>
      <w:r w:rsidRPr="004E5590">
        <w:rPr>
          <w:i/>
          <w:color w:val="000000"/>
          <w:lang w:val="es-MX"/>
        </w:rPr>
        <w:t>53</w:t>
      </w:r>
      <w:r w:rsidRPr="004E5590">
        <w:rPr>
          <w:color w:val="000000"/>
          <w:lang w:val="es-MX"/>
        </w:rPr>
        <w:t xml:space="preserve">(164) p. 207-229. </w:t>
      </w:r>
    </w:p>
    <w:p w14:paraId="4291ADA3"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 xml:space="preserve">Cabrera, F., and A. Galindo, 2000, “La importancia de la información en la valoración de empresas.” </w:t>
      </w:r>
      <w:r w:rsidRPr="004E5590">
        <w:rPr>
          <w:i/>
          <w:color w:val="000000"/>
          <w:lang w:val="es-MX"/>
        </w:rPr>
        <w:t>La Empresa del Siglo XXI: Finanzas, Tecnologías y Sistemas de Información</w:t>
      </w:r>
      <w:r w:rsidRPr="004E5590">
        <w:rPr>
          <w:color w:val="000000"/>
          <w:lang w:val="es-MX"/>
        </w:rPr>
        <w:t>,</w:t>
      </w:r>
      <w:r w:rsidRPr="004E5590">
        <w:rPr>
          <w:i/>
          <w:color w:val="000000"/>
          <w:lang w:val="es-MX"/>
        </w:rPr>
        <w:t xml:space="preserve"> 1</w:t>
      </w:r>
      <w:r w:rsidRPr="004E5590">
        <w:rPr>
          <w:color w:val="000000"/>
          <w:lang w:val="es-MX"/>
        </w:rPr>
        <w:t xml:space="preserve">(1) 555-564. </w:t>
      </w:r>
    </w:p>
    <w:p w14:paraId="69BF188F" w14:textId="77777777" w:rsidR="00682951" w:rsidRDefault="00CC4351">
      <w:pPr>
        <w:widowControl w:val="0"/>
        <w:ind w:left="709" w:hanging="709"/>
        <w:jc w:val="both"/>
        <w:rPr>
          <w:color w:val="000000"/>
        </w:rPr>
      </w:pPr>
      <w:proofErr w:type="spellStart"/>
      <w:r w:rsidRPr="004E5590">
        <w:rPr>
          <w:color w:val="000000"/>
          <w:lang w:val="es-MX"/>
        </w:rPr>
        <w:t>Cassol</w:t>
      </w:r>
      <w:proofErr w:type="spellEnd"/>
      <w:r w:rsidRPr="004E5590">
        <w:rPr>
          <w:color w:val="000000"/>
          <w:lang w:val="es-MX"/>
        </w:rPr>
        <w:t xml:space="preserve">, A., C. Reis </w:t>
      </w:r>
      <w:proofErr w:type="spellStart"/>
      <w:r w:rsidRPr="004E5590">
        <w:rPr>
          <w:color w:val="000000"/>
          <w:lang w:val="es-MX"/>
        </w:rPr>
        <w:t>Gonçalo</w:t>
      </w:r>
      <w:proofErr w:type="spellEnd"/>
      <w:r w:rsidRPr="004E5590">
        <w:rPr>
          <w:color w:val="000000"/>
          <w:lang w:val="es-MX"/>
        </w:rPr>
        <w:t xml:space="preserve">, A. Santos, and R. Lima </w:t>
      </w:r>
      <w:proofErr w:type="spellStart"/>
      <w:r w:rsidRPr="004E5590">
        <w:rPr>
          <w:color w:val="000000"/>
          <w:lang w:val="es-MX"/>
        </w:rPr>
        <w:t>Ruas</w:t>
      </w:r>
      <w:proofErr w:type="spellEnd"/>
      <w:r w:rsidRPr="004E5590">
        <w:rPr>
          <w:color w:val="000000"/>
          <w:lang w:val="es-MX"/>
        </w:rPr>
        <w:t>, 2016</w:t>
      </w:r>
      <w:r w:rsidRPr="004E5590">
        <w:rPr>
          <w:lang w:val="es-MX"/>
        </w:rPr>
        <w:t>,</w:t>
      </w:r>
      <w:r w:rsidRPr="004E5590">
        <w:rPr>
          <w:color w:val="000000"/>
          <w:lang w:val="es-MX"/>
        </w:rPr>
        <w:t xml:space="preserve"> “A </w:t>
      </w:r>
      <w:proofErr w:type="spellStart"/>
      <w:r w:rsidRPr="004E5590">
        <w:rPr>
          <w:color w:val="000000"/>
          <w:lang w:val="es-MX"/>
        </w:rPr>
        <w:t>administração</w:t>
      </w:r>
      <w:proofErr w:type="spellEnd"/>
      <w:r w:rsidRPr="004E5590">
        <w:rPr>
          <w:color w:val="000000"/>
          <w:lang w:val="es-MX"/>
        </w:rPr>
        <w:t xml:space="preserve"> estratégica do capital intelectual: </w:t>
      </w:r>
      <w:proofErr w:type="spellStart"/>
      <w:r w:rsidRPr="004E5590">
        <w:rPr>
          <w:color w:val="000000"/>
          <w:lang w:val="es-MX"/>
        </w:rPr>
        <w:t>um</w:t>
      </w:r>
      <w:proofErr w:type="spellEnd"/>
      <w:r w:rsidRPr="004E5590">
        <w:rPr>
          <w:color w:val="000000"/>
          <w:lang w:val="es-MX"/>
        </w:rPr>
        <w:t xml:space="preserve"> modelo </w:t>
      </w:r>
      <w:proofErr w:type="spellStart"/>
      <w:r w:rsidRPr="004E5590">
        <w:rPr>
          <w:color w:val="000000"/>
          <w:lang w:val="es-MX"/>
        </w:rPr>
        <w:t>baseado</w:t>
      </w:r>
      <w:proofErr w:type="spellEnd"/>
      <w:r w:rsidRPr="004E5590">
        <w:rPr>
          <w:color w:val="000000"/>
          <w:lang w:val="es-MX"/>
        </w:rPr>
        <w:t xml:space="preserve"> </w:t>
      </w:r>
      <w:proofErr w:type="spellStart"/>
      <w:r w:rsidRPr="004E5590">
        <w:rPr>
          <w:color w:val="000000"/>
          <w:lang w:val="es-MX"/>
        </w:rPr>
        <w:t>na</w:t>
      </w:r>
      <w:proofErr w:type="spellEnd"/>
      <w:r w:rsidRPr="004E5590">
        <w:rPr>
          <w:color w:val="000000"/>
          <w:lang w:val="es-MX"/>
        </w:rPr>
        <w:t xml:space="preserve"> </w:t>
      </w:r>
      <w:proofErr w:type="spellStart"/>
      <w:r w:rsidRPr="004E5590">
        <w:rPr>
          <w:color w:val="000000"/>
          <w:lang w:val="es-MX"/>
        </w:rPr>
        <w:t>capacidade</w:t>
      </w:r>
      <w:proofErr w:type="spellEnd"/>
      <w:r w:rsidRPr="004E5590">
        <w:rPr>
          <w:color w:val="000000"/>
          <w:lang w:val="es-MX"/>
        </w:rPr>
        <w:t xml:space="preserve"> </w:t>
      </w:r>
      <w:proofErr w:type="spellStart"/>
      <w:r w:rsidRPr="004E5590">
        <w:rPr>
          <w:color w:val="000000"/>
          <w:lang w:val="es-MX"/>
        </w:rPr>
        <w:t>absortiva</w:t>
      </w:r>
      <w:proofErr w:type="spellEnd"/>
      <w:r w:rsidRPr="004E5590">
        <w:rPr>
          <w:color w:val="000000"/>
          <w:lang w:val="es-MX"/>
        </w:rPr>
        <w:t xml:space="preserve"> para potencializar </w:t>
      </w:r>
      <w:proofErr w:type="spellStart"/>
      <w:r w:rsidRPr="004E5590">
        <w:rPr>
          <w:color w:val="000000"/>
          <w:lang w:val="es-MX"/>
        </w:rPr>
        <w:t>inovação</w:t>
      </w:r>
      <w:proofErr w:type="spellEnd"/>
      <w:r w:rsidRPr="004E5590">
        <w:rPr>
          <w:color w:val="000000"/>
          <w:lang w:val="es-MX"/>
        </w:rPr>
        <w:t xml:space="preserve">.” </w:t>
      </w:r>
      <w:proofErr w:type="spellStart"/>
      <w:r>
        <w:rPr>
          <w:i/>
          <w:color w:val="000000"/>
        </w:rPr>
        <w:t>Revista</w:t>
      </w:r>
      <w:proofErr w:type="spellEnd"/>
      <w:r>
        <w:rPr>
          <w:i/>
          <w:color w:val="000000"/>
        </w:rPr>
        <w:t xml:space="preserve"> </w:t>
      </w:r>
      <w:proofErr w:type="spellStart"/>
      <w:r>
        <w:rPr>
          <w:i/>
          <w:color w:val="000000"/>
        </w:rPr>
        <w:t>Ibero</w:t>
      </w:r>
      <w:proofErr w:type="spellEnd"/>
      <w:r>
        <w:rPr>
          <w:i/>
          <w:color w:val="000000"/>
        </w:rPr>
        <w:t xml:space="preserve"> Americana de </w:t>
      </w:r>
      <w:proofErr w:type="spellStart"/>
      <w:r>
        <w:rPr>
          <w:i/>
          <w:color w:val="000000"/>
        </w:rPr>
        <w:t>Estratégia</w:t>
      </w:r>
      <w:proofErr w:type="spellEnd"/>
      <w:r>
        <w:rPr>
          <w:i/>
          <w:color w:val="000000"/>
        </w:rPr>
        <w:t>, 15</w:t>
      </w:r>
      <w:r>
        <w:rPr>
          <w:color w:val="000000"/>
        </w:rPr>
        <w:t>(1), 27-43. doi:10.5585/</w:t>
      </w:r>
      <w:proofErr w:type="gramStart"/>
      <w:r>
        <w:rPr>
          <w:color w:val="000000"/>
        </w:rPr>
        <w:t>riae.v</w:t>
      </w:r>
      <w:proofErr w:type="gramEnd"/>
      <w:r>
        <w:rPr>
          <w:color w:val="000000"/>
        </w:rPr>
        <w:t>15i1.2161</w:t>
      </w:r>
    </w:p>
    <w:p w14:paraId="631E17B0" w14:textId="77777777" w:rsidR="00682951" w:rsidRDefault="00CC4351">
      <w:pPr>
        <w:pBdr>
          <w:top w:val="nil"/>
          <w:left w:val="nil"/>
          <w:bottom w:val="nil"/>
          <w:right w:val="nil"/>
          <w:between w:val="nil"/>
        </w:pBdr>
        <w:ind w:left="709" w:hanging="709"/>
        <w:jc w:val="both"/>
        <w:rPr>
          <w:color w:val="000000"/>
        </w:rPr>
      </w:pPr>
      <w:r>
        <w:rPr>
          <w:color w:val="000000"/>
        </w:rPr>
        <w:t xml:space="preserve">Cohen, S.K., and T. Caner, 2016, “Converting inventions into breakthrough innovations: the role of exploitation and alliance network knowledge heterogeneity”, </w:t>
      </w:r>
      <w:r>
        <w:rPr>
          <w:i/>
          <w:color w:val="000000"/>
        </w:rPr>
        <w:t>Journal of Engineering and Technology Management,</w:t>
      </w:r>
      <w:r>
        <w:rPr>
          <w:color w:val="000000"/>
        </w:rPr>
        <w:t xml:space="preserve"> </w:t>
      </w:r>
      <w:r>
        <w:rPr>
          <w:i/>
          <w:color w:val="000000"/>
        </w:rPr>
        <w:t>40</w:t>
      </w:r>
      <w:r>
        <w:rPr>
          <w:color w:val="000000"/>
        </w:rPr>
        <w:t>(April-June), 29-44.</w:t>
      </w:r>
    </w:p>
    <w:p w14:paraId="147FB0CD" w14:textId="77777777" w:rsidR="00682951" w:rsidRDefault="00CC4351">
      <w:pPr>
        <w:pBdr>
          <w:top w:val="nil"/>
          <w:left w:val="nil"/>
          <w:bottom w:val="nil"/>
          <w:right w:val="nil"/>
          <w:between w:val="nil"/>
        </w:pBdr>
        <w:ind w:left="709" w:hanging="709"/>
        <w:jc w:val="both"/>
        <w:rPr>
          <w:color w:val="000000"/>
        </w:rPr>
      </w:pPr>
      <w:r>
        <w:rPr>
          <w:color w:val="000000"/>
        </w:rPr>
        <w:t xml:space="preserve">Den </w:t>
      </w:r>
      <w:proofErr w:type="spellStart"/>
      <w:r>
        <w:rPr>
          <w:color w:val="000000"/>
        </w:rPr>
        <w:t>Hertog</w:t>
      </w:r>
      <w:proofErr w:type="spellEnd"/>
      <w:r>
        <w:rPr>
          <w:color w:val="000000"/>
        </w:rPr>
        <w:t>, P., W. Van der Aa, and M.W. de Jong, 2010, “Capabilities for managing service innovation: Towards a conceptual framework</w:t>
      </w:r>
      <w:r>
        <w:rPr>
          <w:i/>
          <w:color w:val="000000"/>
        </w:rPr>
        <w:t>.” Journal of Service Management, 21</w:t>
      </w:r>
      <w:r>
        <w:rPr>
          <w:color w:val="000000"/>
        </w:rPr>
        <w:t>(4), 490-514. doi:10.1108/09564231011066123</w:t>
      </w:r>
    </w:p>
    <w:p w14:paraId="01AE779A" w14:textId="77777777" w:rsidR="00682951" w:rsidRDefault="00CC4351">
      <w:pPr>
        <w:pBdr>
          <w:top w:val="nil"/>
          <w:left w:val="nil"/>
          <w:bottom w:val="nil"/>
          <w:right w:val="nil"/>
          <w:between w:val="nil"/>
        </w:pBdr>
        <w:ind w:left="709" w:hanging="709"/>
        <w:jc w:val="both"/>
        <w:rPr>
          <w:color w:val="000000"/>
        </w:rPr>
      </w:pPr>
      <w:proofErr w:type="spellStart"/>
      <w:r>
        <w:rPr>
          <w:color w:val="000000"/>
        </w:rPr>
        <w:t>Edvinsson</w:t>
      </w:r>
      <w:proofErr w:type="spellEnd"/>
      <w:r>
        <w:rPr>
          <w:color w:val="000000"/>
        </w:rPr>
        <w:t xml:space="preserve">, L., and M.S. Malone, 1997, </w:t>
      </w:r>
      <w:r>
        <w:rPr>
          <w:i/>
          <w:color w:val="000000"/>
        </w:rPr>
        <w:t xml:space="preserve">Intellectual capital: </w:t>
      </w:r>
      <w:proofErr w:type="spellStart"/>
      <w:r>
        <w:rPr>
          <w:i/>
          <w:color w:val="000000"/>
        </w:rPr>
        <w:t>Realising</w:t>
      </w:r>
      <w:proofErr w:type="spellEnd"/>
      <w:r>
        <w:rPr>
          <w:i/>
          <w:color w:val="000000"/>
        </w:rPr>
        <w:t xml:space="preserve"> your company’s true value by finding its hidden brainpower. </w:t>
      </w:r>
      <w:r>
        <w:rPr>
          <w:color w:val="000000"/>
        </w:rPr>
        <w:t>New York: Harper Collins.</w:t>
      </w:r>
    </w:p>
    <w:p w14:paraId="1D2EFB3B" w14:textId="77777777" w:rsidR="00682951" w:rsidRPr="004E5590" w:rsidRDefault="00CC4351">
      <w:pPr>
        <w:pBdr>
          <w:top w:val="nil"/>
          <w:left w:val="nil"/>
          <w:bottom w:val="nil"/>
          <w:right w:val="nil"/>
          <w:between w:val="nil"/>
        </w:pBdr>
        <w:ind w:left="709" w:hanging="709"/>
        <w:jc w:val="both"/>
        <w:rPr>
          <w:color w:val="222222"/>
          <w:highlight w:val="white"/>
          <w:lang w:val="es-MX"/>
        </w:rPr>
      </w:pPr>
      <w:r>
        <w:rPr>
          <w:color w:val="000000"/>
        </w:rPr>
        <w:t xml:space="preserve">Firer, S., 2005, Using intellectual capital as a success strategy in South Africa. </w:t>
      </w:r>
      <w:proofErr w:type="spellStart"/>
      <w:r w:rsidRPr="004E5590">
        <w:rPr>
          <w:i/>
          <w:color w:val="000000"/>
          <w:lang w:val="es-MX"/>
        </w:rPr>
        <w:t>Southern</w:t>
      </w:r>
      <w:proofErr w:type="spellEnd"/>
      <w:r w:rsidRPr="004E5590">
        <w:rPr>
          <w:i/>
          <w:color w:val="000000"/>
          <w:lang w:val="es-MX"/>
        </w:rPr>
        <w:t xml:space="preserve"> </w:t>
      </w:r>
      <w:proofErr w:type="spellStart"/>
      <w:r w:rsidRPr="004E5590">
        <w:rPr>
          <w:i/>
          <w:color w:val="000000"/>
          <w:lang w:val="es-MX"/>
        </w:rPr>
        <w:t>African</w:t>
      </w:r>
      <w:proofErr w:type="spellEnd"/>
      <w:r w:rsidRPr="004E5590">
        <w:rPr>
          <w:i/>
          <w:color w:val="000000"/>
          <w:lang w:val="es-MX"/>
        </w:rPr>
        <w:t xml:space="preserve"> Business </w:t>
      </w:r>
      <w:proofErr w:type="spellStart"/>
      <w:r w:rsidRPr="004E5590">
        <w:rPr>
          <w:i/>
          <w:color w:val="000000"/>
          <w:lang w:val="es-MX"/>
        </w:rPr>
        <w:t>Review</w:t>
      </w:r>
      <w:proofErr w:type="spellEnd"/>
      <w:r w:rsidRPr="004E5590">
        <w:rPr>
          <w:i/>
          <w:color w:val="000000"/>
          <w:lang w:val="es-MX"/>
        </w:rPr>
        <w:t>, 9</w:t>
      </w:r>
      <w:r w:rsidRPr="004E5590">
        <w:rPr>
          <w:color w:val="000000"/>
          <w:lang w:val="es-MX"/>
        </w:rPr>
        <w:t>(1), 1-20.</w:t>
      </w:r>
    </w:p>
    <w:p w14:paraId="2E68C753" w14:textId="77777777" w:rsidR="00682951" w:rsidRPr="004E5590" w:rsidRDefault="00CC4351">
      <w:pPr>
        <w:pBdr>
          <w:top w:val="nil"/>
          <w:left w:val="nil"/>
          <w:bottom w:val="nil"/>
          <w:right w:val="nil"/>
          <w:between w:val="nil"/>
        </w:pBdr>
        <w:ind w:left="709" w:hanging="709"/>
        <w:jc w:val="both"/>
        <w:rPr>
          <w:color w:val="222222"/>
          <w:highlight w:val="white"/>
          <w:lang w:val="es-MX"/>
        </w:rPr>
      </w:pPr>
      <w:proofErr w:type="spellStart"/>
      <w:r w:rsidRPr="004E5590">
        <w:rPr>
          <w:color w:val="222222"/>
          <w:highlight w:val="white"/>
          <w:lang w:val="es-MX"/>
        </w:rPr>
        <w:t>Fleitman</w:t>
      </w:r>
      <w:proofErr w:type="spellEnd"/>
      <w:r w:rsidRPr="004E5590">
        <w:rPr>
          <w:color w:val="222222"/>
          <w:highlight w:val="white"/>
          <w:lang w:val="es-MX"/>
        </w:rPr>
        <w:t>, J., 2010</w:t>
      </w:r>
      <w:r w:rsidRPr="004E5590">
        <w:rPr>
          <w:color w:val="000000"/>
          <w:lang w:val="es-MX"/>
        </w:rPr>
        <w:t>,</w:t>
      </w:r>
      <w:r w:rsidRPr="004E5590">
        <w:rPr>
          <w:color w:val="222222"/>
          <w:highlight w:val="white"/>
          <w:lang w:val="es-MX"/>
        </w:rPr>
        <w:t xml:space="preserve"> </w:t>
      </w:r>
      <w:r w:rsidRPr="004E5590">
        <w:rPr>
          <w:i/>
          <w:color w:val="222222"/>
          <w:highlight w:val="white"/>
          <w:lang w:val="es-MX"/>
        </w:rPr>
        <w:t>Cómo elaborar un plan de negocios. Cómo empezar una empresa exitosa</w:t>
      </w:r>
      <w:r w:rsidRPr="004E5590">
        <w:rPr>
          <w:color w:val="222222"/>
          <w:highlight w:val="white"/>
          <w:lang w:val="es-MX"/>
        </w:rPr>
        <w:t>, 1-</w:t>
      </w:r>
      <w:proofErr w:type="gramStart"/>
      <w:r w:rsidRPr="004E5590">
        <w:rPr>
          <w:color w:val="222222"/>
          <w:highlight w:val="white"/>
          <w:lang w:val="es-MX"/>
        </w:rPr>
        <w:t>2.http://www.pyme.com.mx/articulos_pyme/todoslosarticulos/como_elaborar_un_plan_de_negocios.htm</w:t>
      </w:r>
      <w:proofErr w:type="gramEnd"/>
    </w:p>
    <w:p w14:paraId="04B3912D"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lastRenderedPageBreak/>
        <w:t xml:space="preserve">Garcés, E. X., G.M. López, and V.M. </w:t>
      </w:r>
      <w:proofErr w:type="spellStart"/>
      <w:r w:rsidRPr="004E5590">
        <w:rPr>
          <w:color w:val="000000"/>
          <w:lang w:val="es-MX"/>
        </w:rPr>
        <w:t>Pailiacho</w:t>
      </w:r>
      <w:proofErr w:type="spellEnd"/>
      <w:r w:rsidRPr="004E5590">
        <w:rPr>
          <w:color w:val="000000"/>
          <w:lang w:val="es-MX"/>
        </w:rPr>
        <w:t xml:space="preserve">, 2017, “Lienzo de modelo de negocios como herramienta de emprendimiento para personas con capacidades especiales.” </w:t>
      </w:r>
      <w:r>
        <w:rPr>
          <w:i/>
          <w:color w:val="000000"/>
        </w:rPr>
        <w:t xml:space="preserve">Un </w:t>
      </w:r>
      <w:proofErr w:type="spellStart"/>
      <w:r>
        <w:rPr>
          <w:i/>
          <w:color w:val="000000"/>
        </w:rPr>
        <w:t>Enfoque</w:t>
      </w:r>
      <w:proofErr w:type="spellEnd"/>
      <w:r>
        <w:rPr>
          <w:i/>
          <w:color w:val="000000"/>
        </w:rPr>
        <w:t xml:space="preserve"> </w:t>
      </w:r>
      <w:proofErr w:type="spellStart"/>
      <w:r>
        <w:rPr>
          <w:i/>
          <w:color w:val="000000"/>
        </w:rPr>
        <w:t>desde</w:t>
      </w:r>
      <w:proofErr w:type="spellEnd"/>
      <w:r>
        <w:rPr>
          <w:i/>
          <w:color w:val="000000"/>
        </w:rPr>
        <w:t xml:space="preserve"> la </w:t>
      </w:r>
      <w:proofErr w:type="spellStart"/>
      <w:r>
        <w:rPr>
          <w:i/>
          <w:color w:val="000000"/>
        </w:rPr>
        <w:t>Tecnología</w:t>
      </w:r>
      <w:proofErr w:type="spellEnd"/>
      <w:r>
        <w:rPr>
          <w:i/>
          <w:color w:val="000000"/>
        </w:rPr>
        <w:t xml:space="preserve"> 3C TIC, 6</w:t>
      </w:r>
      <w:r>
        <w:rPr>
          <w:color w:val="000000"/>
        </w:rPr>
        <w:t>(2), 52-69. doi:10.17993/3ctic .2017.56.52-69,</w:t>
      </w:r>
    </w:p>
    <w:p w14:paraId="77D50C8A" w14:textId="77777777" w:rsidR="00682951" w:rsidRDefault="00CC4351">
      <w:pPr>
        <w:pBdr>
          <w:top w:val="nil"/>
          <w:left w:val="nil"/>
          <w:bottom w:val="nil"/>
          <w:right w:val="nil"/>
          <w:between w:val="nil"/>
        </w:pBdr>
        <w:ind w:left="709" w:hanging="709"/>
        <w:jc w:val="both"/>
        <w:rPr>
          <w:color w:val="000000"/>
        </w:rPr>
      </w:pPr>
      <w:proofErr w:type="spellStart"/>
      <w:r>
        <w:rPr>
          <w:color w:val="000000"/>
        </w:rPr>
        <w:t>Gerwin</w:t>
      </w:r>
      <w:proofErr w:type="spellEnd"/>
      <w:r>
        <w:rPr>
          <w:color w:val="000000"/>
        </w:rPr>
        <w:t xml:space="preserve">, D., and N.J. Barrowman, 2002, “An evaluation of research on integrated product development”, </w:t>
      </w:r>
      <w:r>
        <w:rPr>
          <w:i/>
          <w:color w:val="000000"/>
        </w:rPr>
        <w:t>Management Science</w:t>
      </w:r>
      <w:r>
        <w:rPr>
          <w:color w:val="000000"/>
        </w:rPr>
        <w:t xml:space="preserve">, </w:t>
      </w:r>
      <w:r>
        <w:rPr>
          <w:i/>
          <w:color w:val="000000"/>
        </w:rPr>
        <w:t>48</w:t>
      </w:r>
      <w:r>
        <w:rPr>
          <w:color w:val="000000"/>
        </w:rPr>
        <w:t>(7), 938-953.</w:t>
      </w:r>
    </w:p>
    <w:p w14:paraId="434EF5E1"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t>González Mármol, A., 2010. ¿</w:t>
      </w:r>
      <w:r w:rsidRPr="004E5590">
        <w:rPr>
          <w:i/>
          <w:color w:val="000000"/>
          <w:lang w:val="es-MX"/>
        </w:rPr>
        <w:t>Por qué es tan importante hoy la evaluación del desempeño del personal</w:t>
      </w:r>
      <w:r w:rsidRPr="004E5590">
        <w:rPr>
          <w:color w:val="000000"/>
          <w:lang w:val="es-MX"/>
        </w:rPr>
        <w:t xml:space="preserve">? </w:t>
      </w:r>
      <w:proofErr w:type="spellStart"/>
      <w:r>
        <w:rPr>
          <w:color w:val="000000"/>
        </w:rPr>
        <w:t>Retrived</w:t>
      </w:r>
      <w:proofErr w:type="spellEnd"/>
      <w:r>
        <w:rPr>
          <w:color w:val="000000"/>
        </w:rPr>
        <w:t xml:space="preserve"> from: http://www.grupobg.com.ve/articulos_ 2.php</w:t>
      </w:r>
    </w:p>
    <w:p w14:paraId="473B9A5F" w14:textId="77777777" w:rsidR="00682951" w:rsidRPr="004E5590" w:rsidRDefault="00CC4351">
      <w:pPr>
        <w:ind w:left="709" w:hanging="709"/>
        <w:jc w:val="both"/>
        <w:rPr>
          <w:lang w:val="es-MX"/>
        </w:rPr>
      </w:pPr>
      <w:r>
        <w:t xml:space="preserve">Hair, J., R. Anderson, R. Tatham, and W. Black, 2007, </w:t>
      </w:r>
      <w:proofErr w:type="spellStart"/>
      <w:r>
        <w:rPr>
          <w:i/>
        </w:rPr>
        <w:t>Análisis</w:t>
      </w:r>
      <w:proofErr w:type="spellEnd"/>
      <w:r>
        <w:rPr>
          <w:i/>
        </w:rPr>
        <w:t xml:space="preserve"> </w:t>
      </w:r>
      <w:proofErr w:type="spellStart"/>
      <w:r>
        <w:rPr>
          <w:i/>
        </w:rPr>
        <w:t>multivariante</w:t>
      </w:r>
      <w:proofErr w:type="spellEnd"/>
      <w:r>
        <w:rPr>
          <w:i/>
        </w:rPr>
        <w:t xml:space="preserve"> </w:t>
      </w:r>
      <w:r>
        <w:t xml:space="preserve">(5ª ed.). </w:t>
      </w:r>
      <w:r w:rsidRPr="004E5590">
        <w:rPr>
          <w:lang w:val="es-MX"/>
        </w:rPr>
        <w:t>Madrid: Prentice Hall Iberia.</w:t>
      </w:r>
    </w:p>
    <w:p w14:paraId="549DFBFD"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t xml:space="preserve">Hernández and Rodríguez, S., 2008, </w:t>
      </w:r>
      <w:r w:rsidRPr="004E5590">
        <w:rPr>
          <w:i/>
          <w:color w:val="000000"/>
          <w:lang w:val="es-MX"/>
        </w:rPr>
        <w:t>Administración: pensamiento, proceso, estrategia y vanguardia</w:t>
      </w:r>
      <w:r w:rsidRPr="004E5590">
        <w:rPr>
          <w:color w:val="000000"/>
          <w:lang w:val="es-MX"/>
        </w:rPr>
        <w:t xml:space="preserve">. </w:t>
      </w:r>
      <w:r>
        <w:rPr>
          <w:color w:val="000000"/>
        </w:rPr>
        <w:t>México: McGraw-Hill.</w:t>
      </w:r>
    </w:p>
    <w:p w14:paraId="4BD8EBB5" w14:textId="77777777" w:rsidR="00682951" w:rsidRDefault="00CC4351">
      <w:pPr>
        <w:pBdr>
          <w:top w:val="nil"/>
          <w:left w:val="nil"/>
          <w:bottom w:val="nil"/>
          <w:right w:val="nil"/>
          <w:between w:val="nil"/>
        </w:pBdr>
        <w:ind w:left="709" w:hanging="709"/>
        <w:jc w:val="both"/>
        <w:rPr>
          <w:color w:val="000000"/>
        </w:rPr>
      </w:pPr>
      <w:proofErr w:type="spellStart"/>
      <w:r>
        <w:rPr>
          <w:color w:val="000000"/>
        </w:rPr>
        <w:t>Hilmi</w:t>
      </w:r>
      <w:proofErr w:type="spellEnd"/>
      <w:r>
        <w:rPr>
          <w:color w:val="000000"/>
        </w:rPr>
        <w:t xml:space="preserve">, M.F., T. </w:t>
      </w:r>
      <w:proofErr w:type="spellStart"/>
      <w:r>
        <w:rPr>
          <w:color w:val="000000"/>
        </w:rPr>
        <w:t>Ramayah</w:t>
      </w:r>
      <w:proofErr w:type="spellEnd"/>
      <w:r>
        <w:rPr>
          <w:color w:val="000000"/>
        </w:rPr>
        <w:t xml:space="preserve">, Y. Mustapha, and S. </w:t>
      </w:r>
      <w:proofErr w:type="spellStart"/>
      <w:r>
        <w:rPr>
          <w:color w:val="000000"/>
        </w:rPr>
        <w:t>Pawanchik</w:t>
      </w:r>
      <w:proofErr w:type="spellEnd"/>
      <w:r>
        <w:rPr>
          <w:color w:val="000000"/>
        </w:rPr>
        <w:t xml:space="preserve">, 2010, “Product and process innovativeness: evidence from Malaysian SMEs”, </w:t>
      </w:r>
      <w:r>
        <w:rPr>
          <w:i/>
          <w:color w:val="000000"/>
        </w:rPr>
        <w:t>European Journal of Social Science, 5</w:t>
      </w:r>
      <w:r>
        <w:rPr>
          <w:color w:val="000000"/>
        </w:rPr>
        <w:t>(8), 556-565.</w:t>
      </w:r>
    </w:p>
    <w:p w14:paraId="5BD74D94" w14:textId="77777777" w:rsidR="00682951" w:rsidRPr="004E5590" w:rsidRDefault="00CC4351">
      <w:pPr>
        <w:pBdr>
          <w:top w:val="nil"/>
          <w:left w:val="nil"/>
          <w:bottom w:val="nil"/>
          <w:right w:val="nil"/>
          <w:between w:val="nil"/>
        </w:pBdr>
        <w:ind w:left="709" w:hanging="709"/>
        <w:jc w:val="both"/>
        <w:rPr>
          <w:color w:val="222222"/>
          <w:highlight w:val="white"/>
          <w:lang w:val="es-MX"/>
        </w:rPr>
      </w:pPr>
      <w:r>
        <w:rPr>
          <w:color w:val="222222"/>
          <w:highlight w:val="white"/>
        </w:rPr>
        <w:t xml:space="preserve">Hudson, M.A., A. Smart, and M. Bourne, 2001, Theory and practice in SME performance measurement systems. </w:t>
      </w:r>
      <w:r w:rsidRPr="004E5590">
        <w:rPr>
          <w:i/>
          <w:color w:val="222222"/>
          <w:highlight w:val="white"/>
          <w:lang w:val="es-MX"/>
        </w:rPr>
        <w:t xml:space="preserve">International </w:t>
      </w:r>
      <w:proofErr w:type="spellStart"/>
      <w:r w:rsidRPr="004E5590">
        <w:rPr>
          <w:i/>
          <w:color w:val="222222"/>
          <w:highlight w:val="white"/>
          <w:lang w:val="es-MX"/>
        </w:rPr>
        <w:t>Journal</w:t>
      </w:r>
      <w:proofErr w:type="spellEnd"/>
      <w:r w:rsidRPr="004E5590">
        <w:rPr>
          <w:i/>
          <w:color w:val="222222"/>
          <w:highlight w:val="white"/>
          <w:lang w:val="es-MX"/>
        </w:rPr>
        <w:t xml:space="preserve"> </w:t>
      </w:r>
      <w:proofErr w:type="spellStart"/>
      <w:r w:rsidRPr="004E5590">
        <w:rPr>
          <w:i/>
          <w:color w:val="222222"/>
          <w:highlight w:val="white"/>
          <w:lang w:val="es-MX"/>
        </w:rPr>
        <w:t>of</w:t>
      </w:r>
      <w:proofErr w:type="spellEnd"/>
      <w:r w:rsidRPr="004E5590">
        <w:rPr>
          <w:i/>
          <w:color w:val="222222"/>
          <w:highlight w:val="white"/>
          <w:lang w:val="es-MX"/>
        </w:rPr>
        <w:t xml:space="preserve"> </w:t>
      </w:r>
      <w:proofErr w:type="spellStart"/>
      <w:r w:rsidRPr="004E5590">
        <w:rPr>
          <w:i/>
          <w:color w:val="222222"/>
          <w:highlight w:val="white"/>
          <w:lang w:val="es-MX"/>
        </w:rPr>
        <w:t>Operations</w:t>
      </w:r>
      <w:proofErr w:type="spellEnd"/>
      <w:r w:rsidRPr="004E5590">
        <w:rPr>
          <w:i/>
          <w:color w:val="222222"/>
          <w:highlight w:val="white"/>
          <w:lang w:val="es-MX"/>
        </w:rPr>
        <w:t xml:space="preserve"> &amp; </w:t>
      </w:r>
      <w:proofErr w:type="spellStart"/>
      <w:r w:rsidRPr="004E5590">
        <w:rPr>
          <w:i/>
          <w:color w:val="222222"/>
          <w:highlight w:val="white"/>
          <w:lang w:val="es-MX"/>
        </w:rPr>
        <w:t>Production</w:t>
      </w:r>
      <w:proofErr w:type="spellEnd"/>
      <w:r w:rsidRPr="004E5590">
        <w:rPr>
          <w:i/>
          <w:color w:val="222222"/>
          <w:highlight w:val="white"/>
          <w:lang w:val="es-MX"/>
        </w:rPr>
        <w:t xml:space="preserve"> Management</w:t>
      </w:r>
      <w:r w:rsidRPr="004E5590">
        <w:rPr>
          <w:color w:val="222222"/>
          <w:highlight w:val="white"/>
          <w:lang w:val="es-MX"/>
        </w:rPr>
        <w:t xml:space="preserve"> </w:t>
      </w:r>
      <w:r w:rsidRPr="004E5590">
        <w:rPr>
          <w:i/>
          <w:color w:val="222222"/>
          <w:highlight w:val="white"/>
          <w:lang w:val="es-MX"/>
        </w:rPr>
        <w:t>21</w:t>
      </w:r>
      <w:r w:rsidRPr="004E5590">
        <w:rPr>
          <w:color w:val="222222"/>
          <w:highlight w:val="white"/>
          <w:lang w:val="es-MX"/>
        </w:rPr>
        <w:t>(8), 1096–1115.</w:t>
      </w:r>
    </w:p>
    <w:p w14:paraId="6DC803E6"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 xml:space="preserve">Huerta Dueñas, M., S.A. Sandoval Godoy and J.M. Preciado Rodríguez, 2017, “Empresas cárnicas en el noreste de México: análisis exploratorio en la medición de los sistemas de calidad y desempeño empresarial.” </w:t>
      </w:r>
      <w:r w:rsidRPr="004E5590">
        <w:rPr>
          <w:i/>
          <w:color w:val="000000"/>
          <w:lang w:val="es-MX"/>
        </w:rPr>
        <w:t>Horizontes Empresariales, 16</w:t>
      </w:r>
      <w:r w:rsidRPr="004E5590">
        <w:rPr>
          <w:color w:val="000000"/>
          <w:lang w:val="es-MX"/>
        </w:rPr>
        <w:t>(1), 4-17.</w:t>
      </w:r>
    </w:p>
    <w:p w14:paraId="2D4A864B" w14:textId="77777777" w:rsidR="00682951" w:rsidRPr="004E5590" w:rsidRDefault="00CC4351">
      <w:pPr>
        <w:pBdr>
          <w:top w:val="nil"/>
          <w:left w:val="nil"/>
          <w:bottom w:val="nil"/>
          <w:right w:val="nil"/>
          <w:between w:val="nil"/>
        </w:pBdr>
        <w:ind w:left="709" w:hanging="709"/>
        <w:jc w:val="both"/>
        <w:rPr>
          <w:color w:val="000000"/>
          <w:highlight w:val="white"/>
          <w:lang w:val="es-MX"/>
        </w:rPr>
      </w:pPr>
      <w:r w:rsidRPr="004E5590">
        <w:rPr>
          <w:color w:val="222222"/>
          <w:highlight w:val="white"/>
          <w:lang w:val="es-MX"/>
        </w:rPr>
        <w:t>Ibarra-Cisneros, M. A., and F. Hernández-</w:t>
      </w:r>
      <w:proofErr w:type="spellStart"/>
      <w:r w:rsidRPr="004E5590">
        <w:rPr>
          <w:color w:val="222222"/>
          <w:highlight w:val="white"/>
          <w:lang w:val="es-MX"/>
        </w:rPr>
        <w:t>Perlines</w:t>
      </w:r>
      <w:proofErr w:type="spellEnd"/>
      <w:r w:rsidRPr="004E5590">
        <w:rPr>
          <w:color w:val="222222"/>
          <w:highlight w:val="white"/>
          <w:lang w:val="es-MX"/>
        </w:rPr>
        <w:t>, 2019</w:t>
      </w:r>
      <w:r w:rsidRPr="004E5590">
        <w:rPr>
          <w:color w:val="000000"/>
          <w:lang w:val="es-MX"/>
        </w:rPr>
        <w:t>,</w:t>
      </w:r>
      <w:r w:rsidRPr="004E5590">
        <w:rPr>
          <w:color w:val="222222"/>
          <w:highlight w:val="white"/>
          <w:lang w:val="es-MX"/>
        </w:rPr>
        <w:t xml:space="preserve"> “La influencia del capital intelectual en el desempeño de las pequeñas y medianas empresas manufactureras de México: el caso de Baja California.” </w:t>
      </w:r>
      <w:r w:rsidRPr="004E5590">
        <w:rPr>
          <w:i/>
          <w:color w:val="222222"/>
          <w:highlight w:val="white"/>
          <w:lang w:val="es-MX"/>
        </w:rPr>
        <w:t>Innovar</w:t>
      </w:r>
      <w:r w:rsidRPr="004E5590">
        <w:rPr>
          <w:color w:val="222222"/>
          <w:highlight w:val="white"/>
          <w:lang w:val="es-MX"/>
        </w:rPr>
        <w:t>, </w:t>
      </w:r>
      <w:r w:rsidRPr="004E5590">
        <w:rPr>
          <w:i/>
          <w:color w:val="222222"/>
          <w:highlight w:val="white"/>
          <w:lang w:val="es-MX"/>
        </w:rPr>
        <w:t>29</w:t>
      </w:r>
      <w:r w:rsidRPr="004E5590">
        <w:rPr>
          <w:color w:val="222222"/>
          <w:highlight w:val="white"/>
          <w:lang w:val="es-MX"/>
        </w:rPr>
        <w:t xml:space="preserve">(71), 79-96. </w:t>
      </w:r>
      <w:r w:rsidRPr="004E5590">
        <w:rPr>
          <w:color w:val="575757"/>
          <w:highlight w:val="white"/>
          <w:lang w:val="es-MX"/>
        </w:rPr>
        <w:t>DOI: </w:t>
      </w:r>
      <w:r w:rsidRPr="004E5590">
        <w:rPr>
          <w:color w:val="000000"/>
          <w:highlight w:val="white"/>
          <w:lang w:val="es-MX"/>
        </w:rPr>
        <w:t>https://doi.org/10.15446/innovar.v29n71.76397</w:t>
      </w:r>
    </w:p>
    <w:p w14:paraId="1F0EA8EA"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 xml:space="preserve">Instituto Nacional de Estadística y Geografía., 2016, </w:t>
      </w:r>
      <w:r w:rsidRPr="004E5590">
        <w:rPr>
          <w:i/>
          <w:color w:val="000000"/>
          <w:lang w:val="es-MX"/>
        </w:rPr>
        <w:t>Pymes, eslabón fundamental para el crecimiento en México</w:t>
      </w:r>
      <w:r w:rsidRPr="004E5590">
        <w:rPr>
          <w:color w:val="000000"/>
          <w:lang w:val="es-MX"/>
        </w:rPr>
        <w:t>. Recuperado de http://www.camescom.com.mx/Pymes-eslabon-fundamental-para-el-crecimiento-en-mexico/</w:t>
      </w:r>
    </w:p>
    <w:p w14:paraId="1072DF4B" w14:textId="77777777" w:rsidR="00682951" w:rsidRDefault="00CC4351">
      <w:pPr>
        <w:pBdr>
          <w:top w:val="nil"/>
          <w:left w:val="nil"/>
          <w:bottom w:val="nil"/>
          <w:right w:val="nil"/>
          <w:between w:val="nil"/>
        </w:pBdr>
        <w:ind w:left="709" w:hanging="709"/>
        <w:jc w:val="both"/>
        <w:rPr>
          <w:color w:val="000000"/>
        </w:rPr>
      </w:pPr>
      <w:proofErr w:type="spellStart"/>
      <w:r>
        <w:rPr>
          <w:color w:val="000000"/>
        </w:rPr>
        <w:t>Jordão</w:t>
      </w:r>
      <w:proofErr w:type="spellEnd"/>
      <w:r>
        <w:rPr>
          <w:color w:val="000000"/>
        </w:rPr>
        <w:t xml:space="preserve">, R.V.D., and J.C. </w:t>
      </w:r>
      <w:proofErr w:type="spellStart"/>
      <w:r>
        <w:rPr>
          <w:color w:val="000000"/>
        </w:rPr>
        <w:t>Novas</w:t>
      </w:r>
      <w:proofErr w:type="spellEnd"/>
      <w:r>
        <w:rPr>
          <w:color w:val="000000"/>
        </w:rPr>
        <w:t xml:space="preserve">, 2017, “Knowledge management and intellectual capital in networks of small and medium-sized enterprises”. </w:t>
      </w:r>
      <w:r>
        <w:rPr>
          <w:i/>
          <w:color w:val="000000"/>
        </w:rPr>
        <w:t>Journal of Intellectual Capital, 18</w:t>
      </w:r>
      <w:r>
        <w:rPr>
          <w:color w:val="000000"/>
        </w:rPr>
        <w:t>(3), 667-692. DOI 10.1108/JIC-11-2016-0120</w:t>
      </w:r>
    </w:p>
    <w:p w14:paraId="21ED0243" w14:textId="77777777" w:rsidR="00682951" w:rsidRDefault="00CC4351">
      <w:pPr>
        <w:pBdr>
          <w:top w:val="nil"/>
          <w:left w:val="nil"/>
          <w:bottom w:val="nil"/>
          <w:right w:val="nil"/>
          <w:between w:val="nil"/>
        </w:pBdr>
        <w:ind w:left="709" w:hanging="709"/>
        <w:jc w:val="both"/>
        <w:rPr>
          <w:b/>
          <w:color w:val="000000"/>
        </w:rPr>
      </w:pPr>
      <w:r>
        <w:rPr>
          <w:color w:val="000000"/>
        </w:rPr>
        <w:t xml:space="preserve">Kaplan, S.R., and D. Norton, 1996, </w:t>
      </w:r>
      <w:r>
        <w:rPr>
          <w:i/>
          <w:color w:val="000000"/>
        </w:rPr>
        <w:t>The balanced scorecard: Translating strategy into action</w:t>
      </w:r>
      <w:r>
        <w:rPr>
          <w:color w:val="000000"/>
        </w:rPr>
        <w:t>. Harvard Business School Press.</w:t>
      </w:r>
    </w:p>
    <w:p w14:paraId="1C7C78CB" w14:textId="77777777" w:rsidR="00682951" w:rsidRDefault="00CC4351">
      <w:pPr>
        <w:pBdr>
          <w:top w:val="nil"/>
          <w:left w:val="nil"/>
          <w:bottom w:val="nil"/>
          <w:right w:val="nil"/>
          <w:between w:val="nil"/>
        </w:pBdr>
        <w:ind w:left="709" w:hanging="709"/>
        <w:jc w:val="both"/>
        <w:rPr>
          <w:color w:val="000000"/>
        </w:rPr>
      </w:pPr>
      <w:r>
        <w:rPr>
          <w:color w:val="000000"/>
        </w:rPr>
        <w:t xml:space="preserve">Larsen, P., and A. Lewis, (2007), “How award-winning SMEs manage the barriers to innovation”, </w:t>
      </w:r>
      <w:r>
        <w:rPr>
          <w:i/>
          <w:color w:val="000000"/>
        </w:rPr>
        <w:t>Creativity and Innovation Management, 16</w:t>
      </w:r>
      <w:r>
        <w:rPr>
          <w:color w:val="000000"/>
        </w:rPr>
        <w:t>(2), 142-151.</w:t>
      </w:r>
    </w:p>
    <w:p w14:paraId="6E32BCEA" w14:textId="77777777" w:rsidR="00682951" w:rsidRPr="004E5590" w:rsidRDefault="00CC4351">
      <w:pPr>
        <w:pBdr>
          <w:top w:val="nil"/>
          <w:left w:val="nil"/>
          <w:bottom w:val="nil"/>
          <w:right w:val="nil"/>
          <w:between w:val="nil"/>
        </w:pBdr>
        <w:ind w:left="709" w:hanging="709"/>
        <w:jc w:val="both"/>
        <w:rPr>
          <w:color w:val="000000"/>
          <w:lang w:val="es-MX"/>
        </w:rPr>
      </w:pPr>
      <w:r>
        <w:rPr>
          <w:color w:val="000000"/>
        </w:rPr>
        <w:t xml:space="preserve">Lev, B., 2001, </w:t>
      </w:r>
      <w:r>
        <w:rPr>
          <w:i/>
          <w:color w:val="000000"/>
        </w:rPr>
        <w:t>Intangibles. Management, measurement and reporting</w:t>
      </w:r>
      <w:r>
        <w:rPr>
          <w:color w:val="000000"/>
        </w:rPr>
        <w:t xml:space="preserve">. </w:t>
      </w:r>
      <w:r w:rsidRPr="004E5590">
        <w:rPr>
          <w:color w:val="000000"/>
          <w:lang w:val="es-MX"/>
        </w:rPr>
        <w:t xml:space="preserve">Washington: Brookings </w:t>
      </w:r>
      <w:proofErr w:type="spellStart"/>
      <w:r w:rsidRPr="004E5590">
        <w:rPr>
          <w:color w:val="000000"/>
          <w:lang w:val="es-MX"/>
        </w:rPr>
        <w:t>Institution</w:t>
      </w:r>
      <w:proofErr w:type="spellEnd"/>
      <w:r w:rsidRPr="004E5590">
        <w:rPr>
          <w:color w:val="000000"/>
          <w:lang w:val="es-MX"/>
        </w:rPr>
        <w:t>.</w:t>
      </w:r>
    </w:p>
    <w:p w14:paraId="2B864D8D"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t xml:space="preserve">Lima, E. and L. </w:t>
      </w:r>
      <w:proofErr w:type="spellStart"/>
      <w:r w:rsidRPr="004E5590">
        <w:rPr>
          <w:color w:val="000000"/>
          <w:lang w:val="es-MX"/>
        </w:rPr>
        <w:t>Corrar</w:t>
      </w:r>
      <w:proofErr w:type="spellEnd"/>
      <w:r w:rsidRPr="004E5590">
        <w:rPr>
          <w:color w:val="000000"/>
          <w:lang w:val="es-MX"/>
        </w:rPr>
        <w:t>, 2006, “</w:t>
      </w:r>
      <w:proofErr w:type="spellStart"/>
      <w:r w:rsidRPr="004E5590">
        <w:rPr>
          <w:i/>
          <w:color w:val="000000"/>
          <w:lang w:val="es-MX"/>
        </w:rPr>
        <w:t>Comparação</w:t>
      </w:r>
      <w:proofErr w:type="spellEnd"/>
      <w:r w:rsidRPr="004E5590">
        <w:rPr>
          <w:i/>
          <w:color w:val="000000"/>
          <w:lang w:val="es-MX"/>
        </w:rPr>
        <w:t xml:space="preserve"> de </w:t>
      </w:r>
      <w:proofErr w:type="spellStart"/>
      <w:r w:rsidRPr="004E5590">
        <w:rPr>
          <w:i/>
          <w:color w:val="000000"/>
          <w:lang w:val="es-MX"/>
        </w:rPr>
        <w:t>desempenho</w:t>
      </w:r>
      <w:proofErr w:type="spellEnd"/>
      <w:r w:rsidRPr="004E5590">
        <w:rPr>
          <w:i/>
          <w:color w:val="000000"/>
          <w:lang w:val="es-MX"/>
        </w:rPr>
        <w:t xml:space="preserve"> entre as </w:t>
      </w:r>
      <w:proofErr w:type="spellStart"/>
      <w:r w:rsidRPr="004E5590">
        <w:rPr>
          <w:i/>
          <w:color w:val="000000"/>
          <w:lang w:val="es-MX"/>
        </w:rPr>
        <w:t>melhores</w:t>
      </w:r>
      <w:proofErr w:type="spellEnd"/>
      <w:r w:rsidRPr="004E5590">
        <w:rPr>
          <w:i/>
          <w:color w:val="000000"/>
          <w:lang w:val="es-MX"/>
        </w:rPr>
        <w:t xml:space="preserve"> e </w:t>
      </w:r>
      <w:proofErr w:type="spellStart"/>
      <w:r w:rsidRPr="004E5590">
        <w:rPr>
          <w:i/>
          <w:color w:val="000000"/>
          <w:lang w:val="es-MX"/>
        </w:rPr>
        <w:t>maiores</w:t>
      </w:r>
      <w:proofErr w:type="spellEnd"/>
      <w:r w:rsidRPr="004E5590">
        <w:rPr>
          <w:i/>
          <w:color w:val="000000"/>
          <w:lang w:val="es-MX"/>
        </w:rPr>
        <w:t xml:space="preserve"> </w:t>
      </w:r>
      <w:proofErr w:type="spellStart"/>
      <w:r w:rsidRPr="004E5590">
        <w:rPr>
          <w:i/>
          <w:color w:val="000000"/>
          <w:lang w:val="es-MX"/>
        </w:rPr>
        <w:t>apontadas</w:t>
      </w:r>
      <w:proofErr w:type="spellEnd"/>
      <w:r w:rsidRPr="004E5590">
        <w:rPr>
          <w:i/>
          <w:color w:val="000000"/>
          <w:lang w:val="es-MX"/>
        </w:rPr>
        <w:t xml:space="preserve"> como </w:t>
      </w:r>
      <w:proofErr w:type="spellStart"/>
      <w:r w:rsidRPr="004E5590">
        <w:rPr>
          <w:i/>
          <w:color w:val="000000"/>
          <w:lang w:val="es-MX"/>
        </w:rPr>
        <w:t>melhores</w:t>
      </w:r>
      <w:proofErr w:type="spellEnd"/>
      <w:r w:rsidRPr="004E5590">
        <w:rPr>
          <w:i/>
          <w:color w:val="000000"/>
          <w:lang w:val="es-MX"/>
        </w:rPr>
        <w:t xml:space="preserve"> para </w:t>
      </w:r>
      <w:proofErr w:type="spellStart"/>
      <w:r w:rsidRPr="004E5590">
        <w:rPr>
          <w:i/>
          <w:color w:val="000000"/>
          <w:lang w:val="es-MX"/>
        </w:rPr>
        <w:t>trabalhar</w:t>
      </w:r>
      <w:proofErr w:type="spellEnd"/>
      <w:r w:rsidRPr="004E5590">
        <w:rPr>
          <w:i/>
          <w:color w:val="000000"/>
          <w:lang w:val="es-MX"/>
        </w:rPr>
        <w:t>”</w:t>
      </w:r>
      <w:r w:rsidRPr="004E5590">
        <w:rPr>
          <w:color w:val="000000"/>
          <w:lang w:val="es-MX"/>
        </w:rPr>
        <w:t xml:space="preserve">. </w:t>
      </w:r>
      <w:proofErr w:type="spellStart"/>
      <w:r>
        <w:rPr>
          <w:color w:val="000000"/>
        </w:rPr>
        <w:t>Retrived</w:t>
      </w:r>
      <w:proofErr w:type="spellEnd"/>
      <w:r>
        <w:rPr>
          <w:color w:val="000000"/>
        </w:rPr>
        <w:t xml:space="preserve"> from http://www.congressousp .fipecafi.org/artigos62006/157.pdf.</w:t>
      </w:r>
    </w:p>
    <w:p w14:paraId="5A59ED77" w14:textId="77777777" w:rsidR="00682951" w:rsidRPr="004E5590" w:rsidRDefault="00CC4351">
      <w:pPr>
        <w:pBdr>
          <w:top w:val="nil"/>
          <w:left w:val="nil"/>
          <w:bottom w:val="nil"/>
          <w:right w:val="nil"/>
          <w:between w:val="nil"/>
        </w:pBdr>
        <w:ind w:left="709" w:hanging="709"/>
        <w:jc w:val="both"/>
        <w:rPr>
          <w:color w:val="000000"/>
          <w:lang w:val="es-MX"/>
        </w:rPr>
      </w:pPr>
      <w:proofErr w:type="spellStart"/>
      <w:r>
        <w:rPr>
          <w:color w:val="000000"/>
        </w:rPr>
        <w:t>Macri</w:t>
      </w:r>
      <w:proofErr w:type="spellEnd"/>
      <w:r>
        <w:rPr>
          <w:color w:val="000000"/>
        </w:rPr>
        <w:t xml:space="preserve">, D.M., M.R. </w:t>
      </w:r>
      <w:proofErr w:type="spellStart"/>
      <w:r>
        <w:rPr>
          <w:color w:val="000000"/>
        </w:rPr>
        <w:t>Tagliaventi</w:t>
      </w:r>
      <w:proofErr w:type="spellEnd"/>
      <w:r>
        <w:rPr>
          <w:color w:val="000000"/>
        </w:rPr>
        <w:t xml:space="preserve">, and F. </w:t>
      </w:r>
      <w:proofErr w:type="spellStart"/>
      <w:r>
        <w:rPr>
          <w:color w:val="000000"/>
        </w:rPr>
        <w:t>Bertolotti</w:t>
      </w:r>
      <w:proofErr w:type="spellEnd"/>
      <w:r>
        <w:rPr>
          <w:color w:val="000000"/>
        </w:rPr>
        <w:t xml:space="preserve">, 2002, “A grounded theory for resistance to change in a small organization.” </w:t>
      </w:r>
      <w:proofErr w:type="spellStart"/>
      <w:r w:rsidRPr="004E5590">
        <w:rPr>
          <w:i/>
          <w:color w:val="000000"/>
          <w:lang w:val="es-MX"/>
        </w:rPr>
        <w:t>Journal</w:t>
      </w:r>
      <w:proofErr w:type="spellEnd"/>
      <w:r w:rsidRPr="004E5590">
        <w:rPr>
          <w:i/>
          <w:color w:val="000000"/>
          <w:lang w:val="es-MX"/>
        </w:rPr>
        <w:t xml:space="preserve"> </w:t>
      </w:r>
      <w:proofErr w:type="spellStart"/>
      <w:r w:rsidRPr="004E5590">
        <w:rPr>
          <w:i/>
          <w:color w:val="000000"/>
          <w:lang w:val="es-MX"/>
        </w:rPr>
        <w:t>of</w:t>
      </w:r>
      <w:proofErr w:type="spellEnd"/>
      <w:r w:rsidRPr="004E5590">
        <w:rPr>
          <w:i/>
          <w:color w:val="000000"/>
          <w:lang w:val="es-MX"/>
        </w:rPr>
        <w:t xml:space="preserve"> </w:t>
      </w:r>
      <w:proofErr w:type="spellStart"/>
      <w:r w:rsidRPr="004E5590">
        <w:rPr>
          <w:i/>
          <w:color w:val="000000"/>
          <w:lang w:val="es-MX"/>
        </w:rPr>
        <w:t>Organizational</w:t>
      </w:r>
      <w:proofErr w:type="spellEnd"/>
      <w:r w:rsidRPr="004E5590">
        <w:rPr>
          <w:i/>
          <w:color w:val="000000"/>
          <w:lang w:val="es-MX"/>
        </w:rPr>
        <w:t xml:space="preserve"> Change Management, 15(</w:t>
      </w:r>
      <w:r w:rsidRPr="004E5590">
        <w:rPr>
          <w:color w:val="000000"/>
          <w:lang w:val="es-MX"/>
        </w:rPr>
        <w:t>3), 292-310. doi:10.1108/09534810210429327</w:t>
      </w:r>
    </w:p>
    <w:p w14:paraId="46F7E6DD"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 xml:space="preserve">Manrique Henao, J.A., J. Robledo Velásquez, and Á. Lema Tapias, 2014, “Índice de desempeño innovador en los subsectores industriales colombianos entre 1996 y 2005.” </w:t>
      </w:r>
      <w:r w:rsidRPr="004E5590">
        <w:rPr>
          <w:i/>
          <w:color w:val="000000"/>
          <w:lang w:val="es-MX"/>
        </w:rPr>
        <w:t>Revista Facultad de Ciencias Económicas: Investigación y Reflexión, 22</w:t>
      </w:r>
      <w:r w:rsidRPr="004E5590">
        <w:rPr>
          <w:color w:val="000000"/>
          <w:lang w:val="es-MX"/>
        </w:rPr>
        <w:t>(2), 79-95. doi:10.18359/rfce.627</w:t>
      </w:r>
    </w:p>
    <w:p w14:paraId="2F60970F"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Máynez-</w:t>
      </w:r>
      <w:proofErr w:type="spellStart"/>
      <w:r w:rsidRPr="004E5590">
        <w:rPr>
          <w:color w:val="000000"/>
          <w:lang w:val="es-MX"/>
        </w:rPr>
        <w:t>Guaderrama</w:t>
      </w:r>
      <w:proofErr w:type="spellEnd"/>
      <w:r w:rsidRPr="004E5590">
        <w:rPr>
          <w:color w:val="000000"/>
          <w:lang w:val="es-MX"/>
        </w:rPr>
        <w:t xml:space="preserve">, A.I., J. Cavazos-Arroyo, V. Torres Argüelles, and M.T. Escobedo Portillo, 2013, “Las capacidades de la empresa para personalizar su producción y reconfigurarse de forma interna: ¿influencian su desempeño operativo y su ventaja </w:t>
      </w:r>
      <w:r w:rsidRPr="004E5590">
        <w:rPr>
          <w:color w:val="000000"/>
          <w:lang w:val="es-MX"/>
        </w:rPr>
        <w:lastRenderedPageBreak/>
        <w:t xml:space="preserve">competitiva percibidos?” </w:t>
      </w:r>
      <w:r w:rsidRPr="004E5590">
        <w:rPr>
          <w:i/>
          <w:color w:val="000000"/>
          <w:lang w:val="es-MX"/>
        </w:rPr>
        <w:t>Revista Internacional Administración y Finanzas, 6(</w:t>
      </w:r>
      <w:r w:rsidRPr="004E5590">
        <w:rPr>
          <w:color w:val="000000"/>
          <w:lang w:val="es-MX"/>
        </w:rPr>
        <w:t>7), 47-65.</w:t>
      </w:r>
    </w:p>
    <w:p w14:paraId="278FEE12"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 xml:space="preserve">Moreno García, R. and S. Parra Bofill, 2017, “Metodología para la reingeniería de procesos. Validación en la empresa Cereales Santiago.” </w:t>
      </w:r>
      <w:r w:rsidRPr="004E5590">
        <w:rPr>
          <w:i/>
          <w:color w:val="000000"/>
          <w:lang w:val="es-MX"/>
        </w:rPr>
        <w:t>Ingeniería Industrial, 38</w:t>
      </w:r>
      <w:r w:rsidRPr="004E5590">
        <w:rPr>
          <w:color w:val="000000"/>
          <w:lang w:val="es-MX"/>
        </w:rPr>
        <w:t>(2), 130-142.</w:t>
      </w:r>
    </w:p>
    <w:p w14:paraId="57ACF74A"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t xml:space="preserve">Ochoa Jiménez, S., C.A. Jacobo Hernández, B.A. Leyva Osuna, and J.C. López Figueroa, 2014, “Estrategia, desempeño e identidad organizacional de las pymes manufactureras mexicanas.” </w:t>
      </w:r>
      <w:proofErr w:type="spellStart"/>
      <w:r>
        <w:rPr>
          <w:i/>
          <w:color w:val="000000"/>
        </w:rPr>
        <w:t>Revista</w:t>
      </w:r>
      <w:proofErr w:type="spellEnd"/>
      <w:r>
        <w:rPr>
          <w:i/>
          <w:color w:val="000000"/>
        </w:rPr>
        <w:t xml:space="preserve"> </w:t>
      </w:r>
      <w:proofErr w:type="spellStart"/>
      <w:r>
        <w:rPr>
          <w:i/>
          <w:color w:val="000000"/>
        </w:rPr>
        <w:t>Internacional</w:t>
      </w:r>
      <w:proofErr w:type="spellEnd"/>
      <w:r>
        <w:rPr>
          <w:i/>
          <w:color w:val="000000"/>
        </w:rPr>
        <w:t xml:space="preserve"> </w:t>
      </w:r>
      <w:proofErr w:type="spellStart"/>
      <w:r>
        <w:rPr>
          <w:i/>
          <w:color w:val="000000"/>
        </w:rPr>
        <w:t>Administración</w:t>
      </w:r>
      <w:proofErr w:type="spellEnd"/>
      <w:r>
        <w:rPr>
          <w:i/>
          <w:color w:val="000000"/>
        </w:rPr>
        <w:t xml:space="preserve"> y </w:t>
      </w:r>
      <w:proofErr w:type="spellStart"/>
      <w:r>
        <w:rPr>
          <w:i/>
          <w:color w:val="000000"/>
        </w:rPr>
        <w:t>Finanzas</w:t>
      </w:r>
      <w:proofErr w:type="spellEnd"/>
      <w:r>
        <w:rPr>
          <w:i/>
          <w:color w:val="000000"/>
        </w:rPr>
        <w:t>, 7(</w:t>
      </w:r>
      <w:r>
        <w:rPr>
          <w:color w:val="000000"/>
        </w:rPr>
        <w:t>7), 75-90.</w:t>
      </w:r>
    </w:p>
    <w:p w14:paraId="2197A80D" w14:textId="77777777" w:rsidR="00682951" w:rsidRDefault="00CC4351">
      <w:pPr>
        <w:pBdr>
          <w:top w:val="nil"/>
          <w:left w:val="nil"/>
          <w:bottom w:val="nil"/>
          <w:right w:val="nil"/>
          <w:between w:val="nil"/>
        </w:pBdr>
        <w:ind w:left="709" w:hanging="709"/>
        <w:jc w:val="both"/>
        <w:rPr>
          <w:i/>
          <w:color w:val="000000"/>
        </w:rPr>
      </w:pPr>
      <w:proofErr w:type="spellStart"/>
      <w:r>
        <w:rPr>
          <w:color w:val="000000"/>
        </w:rPr>
        <w:t>Oke</w:t>
      </w:r>
      <w:proofErr w:type="spellEnd"/>
      <w:r>
        <w:rPr>
          <w:color w:val="000000"/>
        </w:rPr>
        <w:t xml:space="preserve">, A. (2004), “Barriers to innovation management in service companies”, </w:t>
      </w:r>
      <w:r>
        <w:rPr>
          <w:i/>
          <w:color w:val="000000"/>
        </w:rPr>
        <w:t>Journal of Change Management, 4</w:t>
      </w:r>
      <w:r>
        <w:rPr>
          <w:color w:val="000000"/>
        </w:rPr>
        <w:t>(1), 31-44.</w:t>
      </w:r>
    </w:p>
    <w:p w14:paraId="5216D037"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Ortiz García, F., 2016, “</w:t>
      </w:r>
      <w:r w:rsidRPr="004E5590">
        <w:rPr>
          <w:i/>
          <w:color w:val="000000"/>
          <w:lang w:val="es-MX"/>
        </w:rPr>
        <w:t>Modelo de asociación entre factores de desempeño y competitividad empresarial validado por dueños de empresas familiares de la región de la Huasteca sur del estado de San Luis Potosí y región Sierra sur del estado de Oaxaca”</w:t>
      </w:r>
      <w:r w:rsidRPr="004E5590">
        <w:rPr>
          <w:color w:val="000000"/>
          <w:lang w:val="es-MX"/>
        </w:rPr>
        <w:t xml:space="preserve"> (Tesis doctoral). Universidad de Montemorelos, Montemorelos, México.</w:t>
      </w:r>
    </w:p>
    <w:p w14:paraId="503EB17C"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 xml:space="preserve">Pérez, E., L.A. Medrano, and J. Sánchez Rosas, 2013, “El </w:t>
      </w:r>
      <w:proofErr w:type="spellStart"/>
      <w:r w:rsidRPr="004E5590">
        <w:rPr>
          <w:color w:val="000000"/>
          <w:lang w:val="es-MX"/>
        </w:rPr>
        <w:t>path</w:t>
      </w:r>
      <w:proofErr w:type="spellEnd"/>
      <w:r w:rsidRPr="004E5590">
        <w:rPr>
          <w:color w:val="000000"/>
          <w:lang w:val="es-MX"/>
        </w:rPr>
        <w:t xml:space="preserve"> análisis: Conceptos básicos y ejemplos de aplicación.” </w:t>
      </w:r>
      <w:r w:rsidRPr="004E5590">
        <w:rPr>
          <w:i/>
          <w:color w:val="000000"/>
          <w:lang w:val="es-MX"/>
        </w:rPr>
        <w:t>Revista Argentina de Ciencias del Conocimiento, 1</w:t>
      </w:r>
      <w:r w:rsidRPr="004E5590">
        <w:rPr>
          <w:color w:val="000000"/>
          <w:lang w:val="es-MX"/>
        </w:rPr>
        <w:t xml:space="preserve">(5), 52-66. </w:t>
      </w:r>
    </w:p>
    <w:p w14:paraId="102BC448" w14:textId="77777777" w:rsidR="00682951" w:rsidRDefault="00CC4351">
      <w:pPr>
        <w:pBdr>
          <w:top w:val="nil"/>
          <w:left w:val="nil"/>
          <w:bottom w:val="nil"/>
          <w:right w:val="nil"/>
          <w:between w:val="nil"/>
        </w:pBdr>
        <w:ind w:left="709" w:hanging="709"/>
        <w:jc w:val="both"/>
        <w:rPr>
          <w:color w:val="000000"/>
        </w:rPr>
      </w:pPr>
      <w:proofErr w:type="spellStart"/>
      <w:r w:rsidRPr="004E5590">
        <w:rPr>
          <w:color w:val="000000"/>
          <w:lang w:val="es-MX"/>
        </w:rPr>
        <w:t>Perin</w:t>
      </w:r>
      <w:proofErr w:type="spellEnd"/>
      <w:r w:rsidRPr="004E5590">
        <w:rPr>
          <w:color w:val="000000"/>
          <w:lang w:val="es-MX"/>
        </w:rPr>
        <w:t>, M. and C. Sampaio, 2004, “</w:t>
      </w:r>
      <w:proofErr w:type="spellStart"/>
      <w:r w:rsidRPr="004E5590">
        <w:rPr>
          <w:color w:val="000000"/>
          <w:lang w:val="es-MX"/>
        </w:rPr>
        <w:t>Orientação</w:t>
      </w:r>
      <w:proofErr w:type="spellEnd"/>
      <w:r w:rsidRPr="004E5590">
        <w:rPr>
          <w:color w:val="000000"/>
          <w:lang w:val="es-MX"/>
        </w:rPr>
        <w:t xml:space="preserve"> para o mercado, porte empresarial </w:t>
      </w:r>
      <w:proofErr w:type="gramStart"/>
      <w:r w:rsidRPr="004E5590">
        <w:rPr>
          <w:color w:val="000000"/>
          <w:lang w:val="es-MX"/>
        </w:rPr>
        <w:t>e</w:t>
      </w:r>
      <w:proofErr w:type="gramEnd"/>
      <w:r w:rsidRPr="004E5590">
        <w:rPr>
          <w:color w:val="000000"/>
          <w:lang w:val="es-MX"/>
        </w:rPr>
        <w:t xml:space="preserve"> performance.” </w:t>
      </w:r>
      <w:r>
        <w:rPr>
          <w:i/>
          <w:color w:val="000000"/>
        </w:rPr>
        <w:t>California Management Review, 44(</w:t>
      </w:r>
      <w:r>
        <w:rPr>
          <w:color w:val="000000"/>
        </w:rPr>
        <w:t>3), 76-88.</w:t>
      </w:r>
    </w:p>
    <w:p w14:paraId="7A15B6A6" w14:textId="77777777" w:rsidR="00682951" w:rsidRDefault="00CC4351">
      <w:pPr>
        <w:pBdr>
          <w:top w:val="nil"/>
          <w:left w:val="nil"/>
          <w:bottom w:val="nil"/>
          <w:right w:val="nil"/>
          <w:between w:val="nil"/>
        </w:pBdr>
        <w:ind w:left="709" w:hanging="709"/>
        <w:jc w:val="both"/>
        <w:rPr>
          <w:color w:val="222222"/>
          <w:highlight w:val="white"/>
        </w:rPr>
      </w:pPr>
      <w:proofErr w:type="spellStart"/>
      <w:r>
        <w:rPr>
          <w:color w:val="222222"/>
          <w:highlight w:val="white"/>
        </w:rPr>
        <w:t>Pertusa</w:t>
      </w:r>
      <w:proofErr w:type="spellEnd"/>
      <w:r>
        <w:rPr>
          <w:color w:val="222222"/>
          <w:highlight w:val="white"/>
        </w:rPr>
        <w:t>-Ortega, E.M., J. F. Molina-</w:t>
      </w:r>
      <w:proofErr w:type="spellStart"/>
      <w:r>
        <w:rPr>
          <w:color w:val="222222"/>
          <w:highlight w:val="white"/>
        </w:rPr>
        <w:t>Azorín</w:t>
      </w:r>
      <w:proofErr w:type="spellEnd"/>
      <w:r>
        <w:rPr>
          <w:color w:val="222222"/>
          <w:highlight w:val="white"/>
        </w:rPr>
        <w:t xml:space="preserve">, and E. </w:t>
      </w:r>
      <w:proofErr w:type="spellStart"/>
      <w:r>
        <w:rPr>
          <w:color w:val="222222"/>
          <w:highlight w:val="white"/>
        </w:rPr>
        <w:t>Claver</w:t>
      </w:r>
      <w:proofErr w:type="spellEnd"/>
      <w:r>
        <w:rPr>
          <w:color w:val="222222"/>
          <w:highlight w:val="white"/>
        </w:rPr>
        <w:t>-Cortés, (2010). “Competitive strategy, structure and firm performance: A comparison of the resource-based view and the contingency approach”. </w:t>
      </w:r>
      <w:r>
        <w:rPr>
          <w:i/>
          <w:color w:val="222222"/>
          <w:highlight w:val="white"/>
        </w:rPr>
        <w:t>Management Decision</w:t>
      </w:r>
      <w:r>
        <w:rPr>
          <w:color w:val="222222"/>
          <w:highlight w:val="white"/>
        </w:rPr>
        <w:t>, </w:t>
      </w:r>
      <w:r>
        <w:rPr>
          <w:i/>
          <w:color w:val="222222"/>
          <w:highlight w:val="white"/>
        </w:rPr>
        <w:t>48</w:t>
      </w:r>
      <w:r>
        <w:rPr>
          <w:color w:val="222222"/>
          <w:highlight w:val="white"/>
        </w:rPr>
        <w:t>(8), 1282-1303.</w:t>
      </w:r>
    </w:p>
    <w:p w14:paraId="2E0CFCDC" w14:textId="77777777" w:rsidR="00682951" w:rsidRDefault="00CC4351">
      <w:pPr>
        <w:pBdr>
          <w:top w:val="nil"/>
          <w:left w:val="nil"/>
          <w:bottom w:val="nil"/>
          <w:right w:val="nil"/>
          <w:between w:val="nil"/>
        </w:pBdr>
        <w:ind w:left="709" w:hanging="709"/>
        <w:jc w:val="both"/>
        <w:rPr>
          <w:color w:val="000000"/>
        </w:rPr>
      </w:pPr>
      <w:proofErr w:type="spellStart"/>
      <w:r>
        <w:rPr>
          <w:color w:val="000000"/>
        </w:rPr>
        <w:t>Prajogo</w:t>
      </w:r>
      <w:proofErr w:type="spellEnd"/>
      <w:r>
        <w:rPr>
          <w:color w:val="000000"/>
        </w:rPr>
        <w:t xml:space="preserve">, D.I., and P.K. Ahmed, 2006, “Relationship between innovation stimulus, innovation capacity, and innovation performance”, </w:t>
      </w:r>
      <w:r>
        <w:rPr>
          <w:i/>
          <w:color w:val="000000"/>
        </w:rPr>
        <w:t>R&amp;D Management, 36</w:t>
      </w:r>
      <w:r>
        <w:rPr>
          <w:color w:val="000000"/>
        </w:rPr>
        <w:t>(5), 499-515.</w:t>
      </w:r>
    </w:p>
    <w:p w14:paraId="434D55D2" w14:textId="77777777" w:rsidR="00682951" w:rsidRDefault="00CC4351">
      <w:pPr>
        <w:pBdr>
          <w:top w:val="nil"/>
          <w:left w:val="nil"/>
          <w:bottom w:val="nil"/>
          <w:right w:val="nil"/>
          <w:between w:val="nil"/>
        </w:pBdr>
        <w:ind w:left="709" w:hanging="709"/>
        <w:jc w:val="both"/>
        <w:rPr>
          <w:color w:val="000000"/>
        </w:rPr>
      </w:pPr>
      <w:r>
        <w:rPr>
          <w:color w:val="000000"/>
        </w:rPr>
        <w:t xml:space="preserve">Prakash Y, and M. Gupta, 2008, “Exploring the relationship between </w:t>
      </w:r>
      <w:proofErr w:type="spellStart"/>
      <w:r>
        <w:rPr>
          <w:color w:val="000000"/>
        </w:rPr>
        <w:t>organisation</w:t>
      </w:r>
      <w:proofErr w:type="spellEnd"/>
      <w:r>
        <w:rPr>
          <w:color w:val="000000"/>
        </w:rPr>
        <w:t xml:space="preserve"> structure and perceived innovation in the manufacturing sector of India”. </w:t>
      </w:r>
      <w:r>
        <w:rPr>
          <w:i/>
          <w:color w:val="000000"/>
        </w:rPr>
        <w:t>Singapore Management Review 30</w:t>
      </w:r>
      <w:r>
        <w:rPr>
          <w:color w:val="000000"/>
        </w:rPr>
        <w:t>(1): 55–76.</w:t>
      </w:r>
    </w:p>
    <w:p w14:paraId="08E22139" w14:textId="77777777" w:rsidR="00682951" w:rsidRPr="004E5590" w:rsidRDefault="00CC4351">
      <w:pPr>
        <w:pBdr>
          <w:top w:val="nil"/>
          <w:left w:val="nil"/>
          <w:bottom w:val="nil"/>
          <w:right w:val="nil"/>
          <w:between w:val="nil"/>
        </w:pBdr>
        <w:ind w:left="709" w:hanging="709"/>
        <w:jc w:val="both"/>
        <w:rPr>
          <w:color w:val="000000"/>
          <w:lang w:val="es-MX"/>
        </w:rPr>
      </w:pPr>
      <w:r>
        <w:rPr>
          <w:color w:val="000000"/>
        </w:rPr>
        <w:t xml:space="preserve">Qian G, and L. Li, 2003, “Profitability of small- and </w:t>
      </w:r>
      <w:proofErr w:type="spellStart"/>
      <w:r>
        <w:rPr>
          <w:color w:val="000000"/>
        </w:rPr>
        <w:t>mediumsized</w:t>
      </w:r>
      <w:proofErr w:type="spellEnd"/>
      <w:r>
        <w:rPr>
          <w:color w:val="000000"/>
        </w:rPr>
        <w:t xml:space="preserve"> enterprises in high-tech industries: the case of the biotechnology industry”. </w:t>
      </w:r>
      <w:proofErr w:type="spellStart"/>
      <w:r w:rsidRPr="004E5590">
        <w:rPr>
          <w:i/>
          <w:color w:val="000000"/>
          <w:lang w:val="es-MX"/>
        </w:rPr>
        <w:t>Strategic</w:t>
      </w:r>
      <w:proofErr w:type="spellEnd"/>
      <w:r w:rsidRPr="004E5590">
        <w:rPr>
          <w:i/>
          <w:color w:val="000000"/>
          <w:lang w:val="es-MX"/>
        </w:rPr>
        <w:t xml:space="preserve"> Management </w:t>
      </w:r>
      <w:proofErr w:type="spellStart"/>
      <w:r w:rsidRPr="004E5590">
        <w:rPr>
          <w:i/>
          <w:color w:val="000000"/>
          <w:lang w:val="es-MX"/>
        </w:rPr>
        <w:t>Journal</w:t>
      </w:r>
      <w:proofErr w:type="spellEnd"/>
      <w:r w:rsidRPr="004E5590">
        <w:rPr>
          <w:i/>
          <w:color w:val="000000"/>
          <w:lang w:val="es-MX"/>
        </w:rPr>
        <w:t xml:space="preserve"> 24</w:t>
      </w:r>
      <w:r w:rsidRPr="004E5590">
        <w:rPr>
          <w:color w:val="000000"/>
          <w:lang w:val="es-MX"/>
        </w:rPr>
        <w:t>(9): 881–887.</w:t>
      </w:r>
    </w:p>
    <w:p w14:paraId="66214991" w14:textId="77777777" w:rsidR="00682951" w:rsidRDefault="00CC4351">
      <w:pPr>
        <w:pBdr>
          <w:top w:val="nil"/>
          <w:left w:val="nil"/>
          <w:bottom w:val="nil"/>
          <w:right w:val="nil"/>
          <w:between w:val="nil"/>
        </w:pBdr>
        <w:ind w:left="709" w:hanging="709"/>
        <w:jc w:val="both"/>
        <w:rPr>
          <w:color w:val="000000"/>
        </w:rPr>
      </w:pPr>
      <w:proofErr w:type="spellStart"/>
      <w:r w:rsidRPr="004E5590">
        <w:rPr>
          <w:color w:val="000000"/>
          <w:lang w:val="es-MX"/>
        </w:rPr>
        <w:t>Rafoso</w:t>
      </w:r>
      <w:proofErr w:type="spellEnd"/>
      <w:r w:rsidRPr="004E5590">
        <w:rPr>
          <w:color w:val="000000"/>
          <w:lang w:val="es-MX"/>
        </w:rPr>
        <w:t xml:space="preserve"> Pomar, S., and S. Artiles Visbal, 2011, “Reingeniería de procesos: conceptos, enfoques y nuevas aplicaciones”.</w:t>
      </w:r>
      <w:r w:rsidRPr="004E5590">
        <w:rPr>
          <w:i/>
          <w:color w:val="000000"/>
          <w:lang w:val="es-MX"/>
        </w:rPr>
        <w:t xml:space="preserve"> </w:t>
      </w:r>
      <w:proofErr w:type="spellStart"/>
      <w:r>
        <w:rPr>
          <w:i/>
          <w:color w:val="000000"/>
        </w:rPr>
        <w:t>Ciencias</w:t>
      </w:r>
      <w:proofErr w:type="spellEnd"/>
      <w:r>
        <w:rPr>
          <w:i/>
          <w:color w:val="000000"/>
        </w:rPr>
        <w:t xml:space="preserve"> de la </w:t>
      </w:r>
      <w:proofErr w:type="spellStart"/>
      <w:r>
        <w:rPr>
          <w:i/>
          <w:color w:val="000000"/>
        </w:rPr>
        <w:t>Información</w:t>
      </w:r>
      <w:proofErr w:type="spellEnd"/>
      <w:r>
        <w:rPr>
          <w:i/>
          <w:color w:val="000000"/>
        </w:rPr>
        <w:t>, 42</w:t>
      </w:r>
      <w:r>
        <w:rPr>
          <w:color w:val="000000"/>
        </w:rPr>
        <w:t>(3), 29-37.</w:t>
      </w:r>
    </w:p>
    <w:p w14:paraId="261032EB" w14:textId="77777777" w:rsidR="00682951" w:rsidRDefault="00CC4351">
      <w:pPr>
        <w:pBdr>
          <w:top w:val="nil"/>
          <w:left w:val="nil"/>
          <w:bottom w:val="nil"/>
          <w:right w:val="nil"/>
          <w:between w:val="nil"/>
        </w:pBdr>
        <w:ind w:left="709" w:hanging="709"/>
        <w:jc w:val="both"/>
        <w:rPr>
          <w:color w:val="000000"/>
        </w:rPr>
      </w:pPr>
      <w:proofErr w:type="spellStart"/>
      <w:r>
        <w:rPr>
          <w:color w:val="000000"/>
        </w:rPr>
        <w:t>Rheea</w:t>
      </w:r>
      <w:proofErr w:type="spellEnd"/>
      <w:r>
        <w:rPr>
          <w:color w:val="000000"/>
        </w:rPr>
        <w:t xml:space="preserve">, J., T. </w:t>
      </w:r>
      <w:proofErr w:type="spellStart"/>
      <w:r>
        <w:rPr>
          <w:color w:val="000000"/>
        </w:rPr>
        <w:t>Parkb</w:t>
      </w:r>
      <w:proofErr w:type="spellEnd"/>
      <w:r>
        <w:rPr>
          <w:color w:val="000000"/>
        </w:rPr>
        <w:t xml:space="preserve">, and D.H. Lee, (2010), “Drivers of innovativeness and performance for innovative SMEs in South Korea: mediation of learning orientation”, </w:t>
      </w:r>
      <w:proofErr w:type="spellStart"/>
      <w:r>
        <w:rPr>
          <w:i/>
          <w:color w:val="000000"/>
        </w:rPr>
        <w:t>Technovation</w:t>
      </w:r>
      <w:proofErr w:type="spellEnd"/>
      <w:r>
        <w:rPr>
          <w:i/>
          <w:color w:val="000000"/>
        </w:rPr>
        <w:t>, 30</w:t>
      </w:r>
      <w:r>
        <w:rPr>
          <w:color w:val="000000"/>
        </w:rPr>
        <w:t>(1), 65-75.</w:t>
      </w:r>
    </w:p>
    <w:p w14:paraId="567E22C8"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t xml:space="preserve">Ríos Manríquez, M., J. Ferrer Guerra, and R. Regalado Hernández, 2010, “La estrategia y la ventaja competitiva elementos esenciales para el éxito de las empresas mexicanas.” </w:t>
      </w:r>
      <w:r>
        <w:rPr>
          <w:i/>
          <w:color w:val="000000"/>
        </w:rPr>
        <w:t xml:space="preserve">Panorama </w:t>
      </w:r>
      <w:proofErr w:type="spellStart"/>
      <w:r>
        <w:rPr>
          <w:i/>
          <w:color w:val="000000"/>
        </w:rPr>
        <w:t>Administrativo</w:t>
      </w:r>
      <w:proofErr w:type="spellEnd"/>
      <w:r>
        <w:rPr>
          <w:i/>
          <w:color w:val="000000"/>
        </w:rPr>
        <w:t>, 4</w:t>
      </w:r>
      <w:r>
        <w:rPr>
          <w:color w:val="000000"/>
        </w:rPr>
        <w:t>(8), 3-26.</w:t>
      </w:r>
    </w:p>
    <w:p w14:paraId="40094273" w14:textId="77777777" w:rsidR="00682951" w:rsidRDefault="00CC4351">
      <w:pPr>
        <w:pBdr>
          <w:top w:val="nil"/>
          <w:left w:val="nil"/>
          <w:bottom w:val="nil"/>
          <w:right w:val="nil"/>
          <w:between w:val="nil"/>
        </w:pBdr>
        <w:ind w:left="709" w:hanging="709"/>
        <w:jc w:val="both"/>
        <w:rPr>
          <w:color w:val="000000"/>
        </w:rPr>
      </w:pPr>
      <w:proofErr w:type="spellStart"/>
      <w:r>
        <w:rPr>
          <w:color w:val="000000"/>
        </w:rPr>
        <w:t>Rosli</w:t>
      </w:r>
      <w:proofErr w:type="spellEnd"/>
      <w:r>
        <w:rPr>
          <w:color w:val="000000"/>
        </w:rPr>
        <w:t xml:space="preserve">, M.M., and S. </w:t>
      </w:r>
      <w:proofErr w:type="spellStart"/>
      <w:r>
        <w:rPr>
          <w:color w:val="000000"/>
        </w:rPr>
        <w:t>Sidek</w:t>
      </w:r>
      <w:proofErr w:type="spellEnd"/>
      <w:r>
        <w:rPr>
          <w:color w:val="000000"/>
        </w:rPr>
        <w:t xml:space="preserve">, (2013), “The impact of innovation on the small and medium enterprises: evidence from Malaysia”, </w:t>
      </w:r>
      <w:r>
        <w:rPr>
          <w:i/>
          <w:color w:val="000000"/>
        </w:rPr>
        <w:t>Journal of Innovation Management in Small and Medium Enterprise, 1</w:t>
      </w:r>
      <w:r>
        <w:rPr>
          <w:color w:val="000000"/>
        </w:rPr>
        <w:t>(1), 1-16.</w:t>
      </w:r>
    </w:p>
    <w:p w14:paraId="3E470FEB" w14:textId="77777777" w:rsidR="00682951" w:rsidRPr="004E5590" w:rsidRDefault="00CC4351">
      <w:pPr>
        <w:pBdr>
          <w:top w:val="nil"/>
          <w:left w:val="nil"/>
          <w:bottom w:val="nil"/>
          <w:right w:val="nil"/>
          <w:between w:val="nil"/>
        </w:pBdr>
        <w:ind w:left="709" w:hanging="709"/>
        <w:jc w:val="both"/>
        <w:rPr>
          <w:color w:val="000000"/>
          <w:lang w:val="es-MX"/>
        </w:rPr>
      </w:pPr>
      <w:r w:rsidRPr="004E5590">
        <w:rPr>
          <w:color w:val="000000"/>
          <w:lang w:val="es-MX"/>
        </w:rPr>
        <w:t xml:space="preserve">Ruiz Guerra, I., V.M. Martín López, and V. Molina Moreno, 2012, “Los intangibles del aceite de oliva como ventaja competitiva.” </w:t>
      </w:r>
      <w:r w:rsidRPr="004E5590">
        <w:rPr>
          <w:i/>
          <w:color w:val="000000"/>
          <w:lang w:val="es-MX"/>
        </w:rPr>
        <w:t>Intangible Capital, 8</w:t>
      </w:r>
      <w:r w:rsidRPr="004E5590">
        <w:rPr>
          <w:color w:val="000000"/>
          <w:lang w:val="es-MX"/>
        </w:rPr>
        <w:t xml:space="preserve">(1), 150-180. </w:t>
      </w:r>
      <w:proofErr w:type="spellStart"/>
      <w:r w:rsidRPr="004E5590">
        <w:rPr>
          <w:color w:val="000000"/>
          <w:lang w:val="es-MX"/>
        </w:rPr>
        <w:t>doi</w:t>
      </w:r>
      <w:proofErr w:type="spellEnd"/>
      <w:r w:rsidRPr="004E5590">
        <w:rPr>
          <w:color w:val="000000"/>
          <w:lang w:val="es-MX"/>
        </w:rPr>
        <w:t>: 10.3926/ic.247</w:t>
      </w:r>
    </w:p>
    <w:p w14:paraId="473A718E" w14:textId="77777777" w:rsidR="00682951" w:rsidRDefault="00CC4351">
      <w:pPr>
        <w:widowControl w:val="0"/>
        <w:ind w:left="709" w:hanging="709"/>
        <w:jc w:val="both"/>
        <w:rPr>
          <w:color w:val="000000"/>
        </w:rPr>
      </w:pPr>
      <w:r w:rsidRPr="004E5590">
        <w:rPr>
          <w:color w:val="000000"/>
          <w:lang w:val="es-MX"/>
        </w:rPr>
        <w:t>Sánchez Valdez, J. A., 2018</w:t>
      </w:r>
      <w:r w:rsidRPr="004E5590">
        <w:rPr>
          <w:lang w:val="es-MX"/>
        </w:rPr>
        <w:t>,</w:t>
      </w:r>
      <w:r w:rsidRPr="004E5590">
        <w:rPr>
          <w:color w:val="000000"/>
          <w:lang w:val="es-MX"/>
        </w:rPr>
        <w:t xml:space="preserve"> “</w:t>
      </w:r>
      <w:r w:rsidRPr="004E5590">
        <w:rPr>
          <w:i/>
          <w:color w:val="000000"/>
          <w:lang w:val="es-MX"/>
        </w:rPr>
        <w:t>Modelo causal entre factores del modelo innovador, la reingeniería del negocio y el desempeño empresarial validado por directivos de pymes de Monterrey, Nuevo León”</w:t>
      </w:r>
      <w:r w:rsidRPr="004E5590">
        <w:rPr>
          <w:color w:val="000000"/>
          <w:lang w:val="es-MX"/>
        </w:rPr>
        <w:t xml:space="preserve"> (Tesis doctoral). </w:t>
      </w:r>
      <w:r>
        <w:rPr>
          <w:color w:val="000000"/>
        </w:rPr>
        <w:t xml:space="preserve">Universidad de </w:t>
      </w:r>
      <w:proofErr w:type="spellStart"/>
      <w:r>
        <w:rPr>
          <w:color w:val="000000"/>
        </w:rPr>
        <w:t>Montemorelos</w:t>
      </w:r>
      <w:proofErr w:type="spellEnd"/>
      <w:r>
        <w:rPr>
          <w:color w:val="000000"/>
        </w:rPr>
        <w:t xml:space="preserve">, </w:t>
      </w:r>
      <w:proofErr w:type="spellStart"/>
      <w:r>
        <w:rPr>
          <w:color w:val="000000"/>
        </w:rPr>
        <w:t>Montemorelos</w:t>
      </w:r>
      <w:proofErr w:type="spellEnd"/>
      <w:r>
        <w:rPr>
          <w:color w:val="000000"/>
        </w:rPr>
        <w:t>, México.</w:t>
      </w:r>
    </w:p>
    <w:p w14:paraId="28231D7E" w14:textId="77777777" w:rsidR="00682951" w:rsidRDefault="00CC4351">
      <w:pPr>
        <w:pBdr>
          <w:top w:val="nil"/>
          <w:left w:val="nil"/>
          <w:bottom w:val="nil"/>
          <w:right w:val="nil"/>
          <w:between w:val="nil"/>
        </w:pBdr>
        <w:ind w:left="709" w:hanging="709"/>
        <w:jc w:val="both"/>
        <w:rPr>
          <w:color w:val="000000"/>
        </w:rPr>
      </w:pPr>
      <w:r>
        <w:rPr>
          <w:color w:val="000000"/>
        </w:rPr>
        <w:t xml:space="preserve">Schroeder, R.G., K.A. Bates, and M.A. </w:t>
      </w:r>
      <w:proofErr w:type="spellStart"/>
      <w:r>
        <w:rPr>
          <w:color w:val="000000"/>
        </w:rPr>
        <w:t>Junttila</w:t>
      </w:r>
      <w:proofErr w:type="spellEnd"/>
      <w:r>
        <w:rPr>
          <w:color w:val="000000"/>
        </w:rPr>
        <w:t xml:space="preserve">, 2002, “A resource‐based view of manufacturing strategy and the relationship to manufacturing performance.” </w:t>
      </w:r>
      <w:r>
        <w:rPr>
          <w:i/>
          <w:color w:val="000000"/>
        </w:rPr>
        <w:t>Strategic Management Journal, 23</w:t>
      </w:r>
      <w:r>
        <w:rPr>
          <w:color w:val="000000"/>
        </w:rPr>
        <w:t>(2), 105-117. doi:10.1002/</w:t>
      </w:r>
      <w:proofErr w:type="spellStart"/>
      <w:r>
        <w:rPr>
          <w:color w:val="000000"/>
        </w:rPr>
        <w:t>smj</w:t>
      </w:r>
      <w:proofErr w:type="spellEnd"/>
      <w:r>
        <w:rPr>
          <w:color w:val="000000"/>
        </w:rPr>
        <w:t xml:space="preserve"> .213</w:t>
      </w:r>
    </w:p>
    <w:p w14:paraId="662F3A7F" w14:textId="77777777" w:rsidR="00682951" w:rsidRDefault="00CC4351">
      <w:pPr>
        <w:pBdr>
          <w:top w:val="nil"/>
          <w:left w:val="nil"/>
          <w:bottom w:val="nil"/>
          <w:right w:val="nil"/>
          <w:between w:val="nil"/>
        </w:pBdr>
        <w:ind w:left="709" w:hanging="709"/>
        <w:jc w:val="both"/>
        <w:rPr>
          <w:color w:val="000000"/>
        </w:rPr>
      </w:pPr>
      <w:r>
        <w:rPr>
          <w:color w:val="000000"/>
        </w:rPr>
        <w:lastRenderedPageBreak/>
        <w:t>Segarra-</w:t>
      </w:r>
      <w:proofErr w:type="spellStart"/>
      <w:r>
        <w:rPr>
          <w:color w:val="000000"/>
        </w:rPr>
        <w:t>Blasco</w:t>
      </w:r>
      <w:proofErr w:type="spellEnd"/>
      <w:r>
        <w:rPr>
          <w:color w:val="000000"/>
        </w:rPr>
        <w:t xml:space="preserve">, A., J. García-Quevedo, and M. </w:t>
      </w:r>
      <w:proofErr w:type="spellStart"/>
      <w:r>
        <w:rPr>
          <w:color w:val="000000"/>
        </w:rPr>
        <w:t>Teruel</w:t>
      </w:r>
      <w:proofErr w:type="spellEnd"/>
      <w:r>
        <w:rPr>
          <w:color w:val="000000"/>
        </w:rPr>
        <w:t xml:space="preserve">-Carrizosa, (2008), “Barriers to innovation and public policy in Catalonia”, </w:t>
      </w:r>
      <w:r>
        <w:rPr>
          <w:i/>
          <w:color w:val="000000"/>
        </w:rPr>
        <w:t>International Entrepreneurship Management Journal, 4</w:t>
      </w:r>
      <w:r>
        <w:rPr>
          <w:color w:val="000000"/>
        </w:rPr>
        <w:t>(4), 431-451.</w:t>
      </w:r>
    </w:p>
    <w:p w14:paraId="3CE3FE2B" w14:textId="77777777" w:rsidR="00682951" w:rsidRDefault="00CC4351">
      <w:pPr>
        <w:pBdr>
          <w:top w:val="nil"/>
          <w:left w:val="nil"/>
          <w:bottom w:val="nil"/>
          <w:right w:val="nil"/>
          <w:between w:val="nil"/>
        </w:pBdr>
        <w:ind w:left="709" w:hanging="709"/>
        <w:jc w:val="both"/>
        <w:rPr>
          <w:color w:val="000000"/>
        </w:rPr>
      </w:pPr>
      <w:proofErr w:type="spellStart"/>
      <w:r>
        <w:rPr>
          <w:color w:val="000000"/>
        </w:rPr>
        <w:t>Sirgy</w:t>
      </w:r>
      <w:proofErr w:type="spellEnd"/>
      <w:r>
        <w:rPr>
          <w:color w:val="000000"/>
        </w:rPr>
        <w:t xml:space="preserve">, M., 2002, “Measuring corporate performance by building on the stakeholder’s model of business ethics.” </w:t>
      </w:r>
      <w:r>
        <w:rPr>
          <w:i/>
          <w:color w:val="000000"/>
        </w:rPr>
        <w:t>Journal of Business Ethics, 35(</w:t>
      </w:r>
      <w:r>
        <w:rPr>
          <w:color w:val="000000"/>
        </w:rPr>
        <w:t>3), 143-162. doi:10.1023/A:1013856421897.</w:t>
      </w:r>
    </w:p>
    <w:p w14:paraId="119A7DE8" w14:textId="77777777" w:rsidR="00682951" w:rsidRDefault="00CC4351">
      <w:pPr>
        <w:pBdr>
          <w:top w:val="nil"/>
          <w:left w:val="nil"/>
          <w:bottom w:val="nil"/>
          <w:right w:val="nil"/>
          <w:between w:val="nil"/>
        </w:pBdr>
        <w:ind w:left="709" w:hanging="709"/>
        <w:jc w:val="both"/>
        <w:rPr>
          <w:color w:val="000000"/>
        </w:rPr>
      </w:pPr>
      <w:r>
        <w:rPr>
          <w:color w:val="000000"/>
        </w:rPr>
        <w:t xml:space="preserve">Sullivan, P.H., 2000, </w:t>
      </w:r>
      <w:r>
        <w:rPr>
          <w:i/>
          <w:color w:val="000000"/>
        </w:rPr>
        <w:t>Value driven intellectual capital: How to convert intangible corporate assets into market value</w:t>
      </w:r>
      <w:r>
        <w:rPr>
          <w:color w:val="000000"/>
        </w:rPr>
        <w:t>. New Jersey: John Wiley &amp; Sons</w:t>
      </w:r>
    </w:p>
    <w:p w14:paraId="6EDCEF4A" w14:textId="77777777" w:rsidR="00682951" w:rsidRDefault="00CC4351">
      <w:pPr>
        <w:ind w:left="709" w:hanging="709"/>
      </w:pPr>
      <w:r>
        <w:t xml:space="preserve">The World Bank, 2016, </w:t>
      </w:r>
      <w:r>
        <w:rPr>
          <w:i/>
        </w:rPr>
        <w:t>Mexico</w:t>
      </w:r>
      <w:r>
        <w:t xml:space="preserve">, available at: www.worldbank.org/en/country/mexico </w:t>
      </w:r>
    </w:p>
    <w:p w14:paraId="2CD4EB10"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t xml:space="preserve">Toro Zuluaga, N.A., J.M. Castaño Molano, and Y. López Espitia, 2017, “Estado innovador de empresas medianas y pequeñas agroindustriales de Manizales y su relación con el desempeño organizacional.” </w:t>
      </w:r>
      <w:proofErr w:type="spellStart"/>
      <w:r>
        <w:rPr>
          <w:i/>
          <w:color w:val="000000"/>
        </w:rPr>
        <w:t>Ánfora</w:t>
      </w:r>
      <w:proofErr w:type="spellEnd"/>
      <w:r>
        <w:rPr>
          <w:i/>
          <w:color w:val="000000"/>
        </w:rPr>
        <w:t>, 24(</w:t>
      </w:r>
      <w:r>
        <w:rPr>
          <w:color w:val="000000"/>
        </w:rPr>
        <w:t>42), 67-93. doi:10.30854/ anf.v.24.42.2017.164</w:t>
      </w:r>
    </w:p>
    <w:p w14:paraId="7F4A7DFB" w14:textId="77777777" w:rsidR="00682951" w:rsidRPr="004E5590" w:rsidRDefault="00CC4351">
      <w:pPr>
        <w:pBdr>
          <w:top w:val="nil"/>
          <w:left w:val="nil"/>
          <w:bottom w:val="nil"/>
          <w:right w:val="nil"/>
          <w:between w:val="nil"/>
        </w:pBdr>
        <w:ind w:left="709" w:hanging="709"/>
        <w:jc w:val="both"/>
        <w:rPr>
          <w:color w:val="000000"/>
          <w:lang w:val="es-MX"/>
        </w:rPr>
      </w:pPr>
      <w:proofErr w:type="spellStart"/>
      <w:r>
        <w:rPr>
          <w:color w:val="000000"/>
        </w:rPr>
        <w:t>Verbano</w:t>
      </w:r>
      <w:proofErr w:type="spellEnd"/>
      <w:r>
        <w:rPr>
          <w:color w:val="000000"/>
        </w:rPr>
        <w:t xml:space="preserve">, C., and M. Crema, 2016, “Linking technology innovation strategy, intellectual capital and technology innovation performance in manufacturing SMEs”. </w:t>
      </w:r>
      <w:proofErr w:type="spellStart"/>
      <w:r w:rsidRPr="004E5590">
        <w:rPr>
          <w:color w:val="000000"/>
          <w:lang w:val="es-MX"/>
        </w:rPr>
        <w:t>Technology</w:t>
      </w:r>
      <w:proofErr w:type="spellEnd"/>
      <w:r w:rsidRPr="004E5590">
        <w:rPr>
          <w:color w:val="000000"/>
          <w:lang w:val="es-MX"/>
        </w:rPr>
        <w:t xml:space="preserve"> </w:t>
      </w:r>
      <w:proofErr w:type="spellStart"/>
      <w:r w:rsidRPr="004E5590">
        <w:rPr>
          <w:color w:val="000000"/>
          <w:lang w:val="es-MX"/>
        </w:rPr>
        <w:t>Analysis</w:t>
      </w:r>
      <w:proofErr w:type="spellEnd"/>
      <w:r w:rsidRPr="004E5590">
        <w:rPr>
          <w:color w:val="000000"/>
          <w:lang w:val="es-MX"/>
        </w:rPr>
        <w:t xml:space="preserve"> &amp; </w:t>
      </w:r>
      <w:proofErr w:type="spellStart"/>
      <w:r w:rsidRPr="004E5590">
        <w:rPr>
          <w:color w:val="000000"/>
          <w:lang w:val="es-MX"/>
        </w:rPr>
        <w:t>Strategic</w:t>
      </w:r>
      <w:proofErr w:type="spellEnd"/>
      <w:r w:rsidRPr="004E5590">
        <w:rPr>
          <w:color w:val="000000"/>
          <w:lang w:val="es-MX"/>
        </w:rPr>
        <w:t xml:space="preserve"> Management, 28(5), 524-540. https://doi.org/10.1080/09537325 .2015.1117066</w:t>
      </w:r>
    </w:p>
    <w:p w14:paraId="67CFF6B9" w14:textId="77777777" w:rsidR="00682951" w:rsidRDefault="00CC4351">
      <w:pPr>
        <w:pBdr>
          <w:top w:val="nil"/>
          <w:left w:val="nil"/>
          <w:bottom w:val="nil"/>
          <w:right w:val="nil"/>
          <w:between w:val="nil"/>
        </w:pBdr>
        <w:ind w:left="709" w:hanging="709"/>
        <w:jc w:val="both"/>
        <w:rPr>
          <w:color w:val="000000"/>
        </w:rPr>
      </w:pPr>
      <w:r w:rsidRPr="004E5590">
        <w:rPr>
          <w:color w:val="000000"/>
          <w:lang w:val="es-MX"/>
        </w:rPr>
        <w:t>Villena Manzanares, F., and J.E. Souto Pérez, 2015, “El impacto de los intangibles en el desempeño exportador de la Pyme manufacturera”</w:t>
      </w:r>
      <w:r w:rsidRPr="004E5590">
        <w:rPr>
          <w:i/>
          <w:color w:val="000000"/>
          <w:lang w:val="es-MX"/>
        </w:rPr>
        <w:t xml:space="preserve">. </w:t>
      </w:r>
      <w:r>
        <w:rPr>
          <w:i/>
          <w:color w:val="000000"/>
        </w:rPr>
        <w:t>Intangible Capital, 11</w:t>
      </w:r>
      <w:r>
        <w:rPr>
          <w:color w:val="000000"/>
        </w:rPr>
        <w:t>, 13- 40. doi:10.3926/ic.567</w:t>
      </w:r>
    </w:p>
    <w:p w14:paraId="303910D1" w14:textId="77777777" w:rsidR="00682951" w:rsidRDefault="00CC4351">
      <w:pPr>
        <w:pBdr>
          <w:top w:val="nil"/>
          <w:left w:val="nil"/>
          <w:bottom w:val="nil"/>
          <w:right w:val="nil"/>
          <w:between w:val="nil"/>
        </w:pBdr>
        <w:ind w:left="709" w:hanging="709"/>
        <w:jc w:val="both"/>
        <w:rPr>
          <w:color w:val="000000"/>
        </w:rPr>
      </w:pPr>
      <w:proofErr w:type="spellStart"/>
      <w:r>
        <w:rPr>
          <w:color w:val="000000"/>
        </w:rPr>
        <w:t>Wheelen</w:t>
      </w:r>
      <w:proofErr w:type="spellEnd"/>
      <w:r>
        <w:rPr>
          <w:color w:val="000000"/>
        </w:rPr>
        <w:t xml:space="preserve">, T.L., J.D. Hunger, 1999. </w:t>
      </w:r>
      <w:r>
        <w:rPr>
          <w:i/>
          <w:color w:val="000000"/>
        </w:rPr>
        <w:t>Strategic Management and Business Policy</w:t>
      </w:r>
      <w:r>
        <w:rPr>
          <w:color w:val="000000"/>
        </w:rPr>
        <w:t>. Addison-Wesley: Reading, MA</w:t>
      </w:r>
    </w:p>
    <w:p w14:paraId="1846F433" w14:textId="77777777" w:rsidR="00682951" w:rsidRDefault="00CC4351">
      <w:pPr>
        <w:pBdr>
          <w:top w:val="nil"/>
          <w:left w:val="nil"/>
          <w:bottom w:val="nil"/>
          <w:right w:val="nil"/>
          <w:between w:val="nil"/>
        </w:pBdr>
        <w:ind w:left="709" w:hanging="709"/>
        <w:jc w:val="both"/>
        <w:rPr>
          <w:color w:val="000000"/>
        </w:rPr>
      </w:pPr>
      <w:proofErr w:type="spellStart"/>
      <w:r>
        <w:rPr>
          <w:color w:val="000000"/>
        </w:rPr>
        <w:t>Xie</w:t>
      </w:r>
      <w:proofErr w:type="spellEnd"/>
      <w:r>
        <w:rPr>
          <w:color w:val="000000"/>
        </w:rPr>
        <w:t xml:space="preserve">, X.M., S.X. Zeng, and C.M. Tam, 2010, “Overcoming barriers to innovation in SMEs in China: a perspective-based cooperation network”, </w:t>
      </w:r>
      <w:r>
        <w:rPr>
          <w:i/>
          <w:color w:val="000000"/>
        </w:rPr>
        <w:t>Innovation: Management, Policy &amp; Practice, 12</w:t>
      </w:r>
      <w:r>
        <w:rPr>
          <w:color w:val="000000"/>
        </w:rPr>
        <w:t>(3), 298-310.</w:t>
      </w:r>
    </w:p>
    <w:p w14:paraId="75130CEF" w14:textId="77777777" w:rsidR="00682951" w:rsidRDefault="00CC4351">
      <w:pPr>
        <w:pBdr>
          <w:top w:val="nil"/>
          <w:left w:val="nil"/>
          <w:bottom w:val="nil"/>
          <w:right w:val="nil"/>
          <w:between w:val="nil"/>
        </w:pBdr>
        <w:ind w:left="709" w:hanging="709"/>
        <w:jc w:val="both"/>
        <w:rPr>
          <w:b/>
          <w:color w:val="000000"/>
        </w:rPr>
      </w:pPr>
      <w:r>
        <w:rPr>
          <w:color w:val="000000"/>
        </w:rPr>
        <w:t xml:space="preserve">Zhu, H.Y., Y. Yang, M.T. </w:t>
      </w:r>
      <w:proofErr w:type="spellStart"/>
      <w:r>
        <w:rPr>
          <w:color w:val="000000"/>
        </w:rPr>
        <w:t>Tintchev</w:t>
      </w:r>
      <w:proofErr w:type="spellEnd"/>
      <w:r>
        <w:rPr>
          <w:color w:val="000000"/>
        </w:rPr>
        <w:t xml:space="preserve">, and G.S. Wu, (2006), “The interaction between regulation and market and technology opportunities: a case study of the Chinese mobile phone industry”, </w:t>
      </w:r>
      <w:r>
        <w:rPr>
          <w:i/>
          <w:color w:val="000000"/>
        </w:rPr>
        <w:t>Innovation: Management, Policy &amp; Practice</w:t>
      </w:r>
      <w:r>
        <w:rPr>
          <w:color w:val="000000"/>
        </w:rPr>
        <w:t xml:space="preserve">, </w:t>
      </w:r>
      <w:r>
        <w:rPr>
          <w:i/>
          <w:color w:val="000000"/>
        </w:rPr>
        <w:t>8</w:t>
      </w:r>
      <w:r>
        <w:rPr>
          <w:color w:val="000000"/>
        </w:rPr>
        <w:t>(1/2), 102-112.</w:t>
      </w:r>
    </w:p>
    <w:p w14:paraId="76E426CE" w14:textId="77777777" w:rsidR="00682951" w:rsidRDefault="00682951">
      <w:pPr>
        <w:pBdr>
          <w:top w:val="nil"/>
          <w:left w:val="nil"/>
          <w:bottom w:val="nil"/>
          <w:right w:val="nil"/>
          <w:between w:val="nil"/>
        </w:pBdr>
        <w:jc w:val="center"/>
        <w:rPr>
          <w:b/>
          <w:color w:val="000000"/>
        </w:rPr>
      </w:pPr>
    </w:p>
    <w:p w14:paraId="29B1A1F3" w14:textId="77777777" w:rsidR="00682951" w:rsidRDefault="00682951">
      <w:pPr>
        <w:pBdr>
          <w:top w:val="nil"/>
          <w:left w:val="nil"/>
          <w:bottom w:val="nil"/>
          <w:right w:val="nil"/>
          <w:between w:val="nil"/>
        </w:pBdr>
        <w:jc w:val="center"/>
        <w:rPr>
          <w:b/>
          <w:color w:val="000000"/>
        </w:rPr>
      </w:pPr>
    </w:p>
    <w:p w14:paraId="1E9EBD86" w14:textId="77777777" w:rsidR="00682951" w:rsidRDefault="00682951">
      <w:pPr>
        <w:pBdr>
          <w:top w:val="nil"/>
          <w:left w:val="nil"/>
          <w:bottom w:val="nil"/>
          <w:right w:val="nil"/>
          <w:between w:val="nil"/>
        </w:pBdr>
        <w:jc w:val="center"/>
        <w:rPr>
          <w:b/>
          <w:color w:val="000000"/>
        </w:rPr>
      </w:pPr>
    </w:p>
    <w:p w14:paraId="4AD973C7" w14:textId="77777777" w:rsidR="00682951" w:rsidRDefault="00682951">
      <w:pPr>
        <w:pBdr>
          <w:top w:val="nil"/>
          <w:left w:val="nil"/>
          <w:bottom w:val="nil"/>
          <w:right w:val="nil"/>
          <w:between w:val="nil"/>
        </w:pBdr>
        <w:jc w:val="center"/>
        <w:rPr>
          <w:b/>
          <w:color w:val="000000"/>
        </w:rPr>
      </w:pPr>
    </w:p>
    <w:p w14:paraId="133B78AE" w14:textId="77777777" w:rsidR="00682951" w:rsidRDefault="00682951">
      <w:pPr>
        <w:pBdr>
          <w:top w:val="nil"/>
          <w:left w:val="nil"/>
          <w:bottom w:val="nil"/>
          <w:right w:val="nil"/>
          <w:between w:val="nil"/>
        </w:pBdr>
        <w:jc w:val="center"/>
        <w:rPr>
          <w:b/>
          <w:color w:val="000000"/>
        </w:rPr>
      </w:pPr>
    </w:p>
    <w:p w14:paraId="6B916773" w14:textId="77777777" w:rsidR="00682951" w:rsidRDefault="00682951">
      <w:pPr>
        <w:pBdr>
          <w:top w:val="nil"/>
          <w:left w:val="nil"/>
          <w:bottom w:val="nil"/>
          <w:right w:val="nil"/>
          <w:between w:val="nil"/>
        </w:pBdr>
        <w:jc w:val="center"/>
        <w:rPr>
          <w:b/>
          <w:color w:val="000000"/>
        </w:rPr>
      </w:pPr>
    </w:p>
    <w:p w14:paraId="443AA87A" w14:textId="77777777" w:rsidR="00682951" w:rsidRDefault="00682951">
      <w:pPr>
        <w:pBdr>
          <w:top w:val="nil"/>
          <w:left w:val="nil"/>
          <w:bottom w:val="nil"/>
          <w:right w:val="nil"/>
          <w:between w:val="nil"/>
        </w:pBdr>
        <w:jc w:val="center"/>
        <w:rPr>
          <w:b/>
          <w:color w:val="000000"/>
        </w:rPr>
      </w:pPr>
    </w:p>
    <w:p w14:paraId="195E3A59" w14:textId="77777777" w:rsidR="00682951" w:rsidRDefault="00682951">
      <w:pPr>
        <w:pBdr>
          <w:top w:val="nil"/>
          <w:left w:val="nil"/>
          <w:bottom w:val="nil"/>
          <w:right w:val="nil"/>
          <w:between w:val="nil"/>
        </w:pBdr>
        <w:jc w:val="center"/>
        <w:rPr>
          <w:b/>
          <w:color w:val="000000"/>
        </w:rPr>
      </w:pPr>
    </w:p>
    <w:p w14:paraId="4EF11CA2" w14:textId="77777777" w:rsidR="00682951" w:rsidRDefault="00682951">
      <w:pPr>
        <w:pBdr>
          <w:top w:val="nil"/>
          <w:left w:val="nil"/>
          <w:bottom w:val="nil"/>
          <w:right w:val="nil"/>
          <w:between w:val="nil"/>
        </w:pBdr>
        <w:jc w:val="center"/>
        <w:rPr>
          <w:b/>
          <w:color w:val="000000"/>
        </w:rPr>
      </w:pPr>
    </w:p>
    <w:p w14:paraId="12E44474" w14:textId="77777777" w:rsidR="00682951" w:rsidRDefault="00682951">
      <w:pPr>
        <w:pBdr>
          <w:top w:val="nil"/>
          <w:left w:val="nil"/>
          <w:bottom w:val="nil"/>
          <w:right w:val="nil"/>
          <w:between w:val="nil"/>
        </w:pBdr>
        <w:jc w:val="center"/>
        <w:rPr>
          <w:b/>
          <w:color w:val="000000"/>
        </w:rPr>
      </w:pPr>
    </w:p>
    <w:p w14:paraId="5A22C232" w14:textId="77777777" w:rsidR="00682951" w:rsidRDefault="00682951">
      <w:pPr>
        <w:pBdr>
          <w:top w:val="nil"/>
          <w:left w:val="nil"/>
          <w:bottom w:val="nil"/>
          <w:right w:val="nil"/>
          <w:between w:val="nil"/>
        </w:pBdr>
        <w:jc w:val="center"/>
        <w:rPr>
          <w:b/>
          <w:color w:val="000000"/>
        </w:rPr>
      </w:pPr>
    </w:p>
    <w:p w14:paraId="0280F0E1" w14:textId="77777777" w:rsidR="00682951" w:rsidRDefault="00682951">
      <w:pPr>
        <w:pBdr>
          <w:top w:val="nil"/>
          <w:left w:val="nil"/>
          <w:bottom w:val="nil"/>
          <w:right w:val="nil"/>
          <w:between w:val="nil"/>
        </w:pBdr>
        <w:jc w:val="center"/>
        <w:rPr>
          <w:b/>
          <w:color w:val="000000"/>
        </w:rPr>
      </w:pPr>
    </w:p>
    <w:p w14:paraId="27A58CC1" w14:textId="77777777" w:rsidR="00682951" w:rsidRDefault="00682951">
      <w:pPr>
        <w:pBdr>
          <w:top w:val="nil"/>
          <w:left w:val="nil"/>
          <w:bottom w:val="nil"/>
          <w:right w:val="nil"/>
          <w:between w:val="nil"/>
        </w:pBdr>
        <w:jc w:val="center"/>
        <w:rPr>
          <w:b/>
          <w:color w:val="000000"/>
        </w:rPr>
      </w:pPr>
    </w:p>
    <w:p w14:paraId="1515979E" w14:textId="77777777" w:rsidR="00682951" w:rsidRDefault="00682951">
      <w:pPr>
        <w:pBdr>
          <w:top w:val="nil"/>
          <w:left w:val="nil"/>
          <w:bottom w:val="nil"/>
          <w:right w:val="nil"/>
          <w:between w:val="nil"/>
        </w:pBdr>
        <w:jc w:val="center"/>
        <w:rPr>
          <w:b/>
          <w:color w:val="000000"/>
        </w:rPr>
      </w:pPr>
    </w:p>
    <w:p w14:paraId="78664829" w14:textId="77777777" w:rsidR="00682951" w:rsidRDefault="00682951">
      <w:pPr>
        <w:pBdr>
          <w:top w:val="nil"/>
          <w:left w:val="nil"/>
          <w:bottom w:val="nil"/>
          <w:right w:val="nil"/>
          <w:between w:val="nil"/>
        </w:pBdr>
        <w:jc w:val="center"/>
        <w:rPr>
          <w:b/>
          <w:color w:val="000000"/>
        </w:rPr>
      </w:pPr>
    </w:p>
    <w:p w14:paraId="06EB3CD7" w14:textId="77777777" w:rsidR="00682951" w:rsidRDefault="00682951">
      <w:pPr>
        <w:pBdr>
          <w:top w:val="nil"/>
          <w:left w:val="nil"/>
          <w:bottom w:val="nil"/>
          <w:right w:val="nil"/>
          <w:between w:val="nil"/>
        </w:pBdr>
        <w:jc w:val="center"/>
        <w:rPr>
          <w:b/>
          <w:color w:val="000000"/>
        </w:rPr>
      </w:pPr>
    </w:p>
    <w:p w14:paraId="0989C5F9" w14:textId="77777777" w:rsidR="00682951" w:rsidRDefault="00682951">
      <w:pPr>
        <w:pBdr>
          <w:top w:val="nil"/>
          <w:left w:val="nil"/>
          <w:bottom w:val="nil"/>
          <w:right w:val="nil"/>
          <w:between w:val="nil"/>
        </w:pBdr>
        <w:jc w:val="center"/>
        <w:rPr>
          <w:b/>
          <w:color w:val="000000"/>
        </w:rPr>
      </w:pPr>
    </w:p>
    <w:p w14:paraId="057C87F9" w14:textId="77777777" w:rsidR="00682951" w:rsidRDefault="00682951">
      <w:pPr>
        <w:pBdr>
          <w:top w:val="nil"/>
          <w:left w:val="nil"/>
          <w:bottom w:val="nil"/>
          <w:right w:val="nil"/>
          <w:between w:val="nil"/>
        </w:pBdr>
        <w:jc w:val="center"/>
        <w:rPr>
          <w:b/>
          <w:color w:val="000000"/>
        </w:rPr>
      </w:pPr>
    </w:p>
    <w:p w14:paraId="15791CDF" w14:textId="77777777" w:rsidR="00682951" w:rsidRDefault="00682951">
      <w:pPr>
        <w:pBdr>
          <w:top w:val="nil"/>
          <w:left w:val="nil"/>
          <w:bottom w:val="nil"/>
          <w:right w:val="nil"/>
          <w:between w:val="nil"/>
        </w:pBdr>
        <w:jc w:val="center"/>
        <w:rPr>
          <w:b/>
          <w:color w:val="000000"/>
        </w:rPr>
      </w:pPr>
    </w:p>
    <w:p w14:paraId="62556071" w14:textId="77777777" w:rsidR="00682951" w:rsidRDefault="00682951">
      <w:pPr>
        <w:pBdr>
          <w:top w:val="nil"/>
          <w:left w:val="nil"/>
          <w:bottom w:val="nil"/>
          <w:right w:val="nil"/>
          <w:between w:val="nil"/>
        </w:pBdr>
        <w:jc w:val="center"/>
        <w:rPr>
          <w:b/>
          <w:color w:val="000000"/>
        </w:rPr>
      </w:pPr>
    </w:p>
    <w:p w14:paraId="0061A932" w14:textId="77777777" w:rsidR="00682951" w:rsidRDefault="00682951">
      <w:pPr>
        <w:pBdr>
          <w:top w:val="nil"/>
          <w:left w:val="nil"/>
          <w:bottom w:val="nil"/>
          <w:right w:val="nil"/>
          <w:between w:val="nil"/>
        </w:pBdr>
        <w:jc w:val="center"/>
        <w:rPr>
          <w:b/>
          <w:color w:val="000000"/>
        </w:rPr>
      </w:pPr>
    </w:p>
    <w:p w14:paraId="3DA483FC" w14:textId="77777777" w:rsidR="00682951" w:rsidRDefault="00682951">
      <w:pPr>
        <w:pBdr>
          <w:top w:val="nil"/>
          <w:left w:val="nil"/>
          <w:bottom w:val="nil"/>
          <w:right w:val="nil"/>
          <w:between w:val="nil"/>
        </w:pBdr>
        <w:jc w:val="center"/>
        <w:rPr>
          <w:b/>
          <w:color w:val="000000"/>
        </w:rPr>
      </w:pPr>
    </w:p>
    <w:p w14:paraId="6B682374" w14:textId="77777777" w:rsidR="00682951" w:rsidRDefault="00682951">
      <w:pPr>
        <w:pBdr>
          <w:top w:val="nil"/>
          <w:left w:val="nil"/>
          <w:bottom w:val="nil"/>
          <w:right w:val="nil"/>
          <w:between w:val="nil"/>
        </w:pBdr>
        <w:jc w:val="center"/>
        <w:rPr>
          <w:b/>
          <w:color w:val="000000"/>
        </w:rPr>
      </w:pPr>
    </w:p>
    <w:p w14:paraId="1524F741" w14:textId="77777777" w:rsidR="00682951" w:rsidRDefault="00682951">
      <w:pPr>
        <w:pBdr>
          <w:top w:val="nil"/>
          <w:left w:val="nil"/>
          <w:bottom w:val="nil"/>
          <w:right w:val="nil"/>
          <w:between w:val="nil"/>
        </w:pBdr>
        <w:jc w:val="center"/>
        <w:rPr>
          <w:b/>
          <w:color w:val="000000"/>
        </w:rPr>
      </w:pPr>
    </w:p>
    <w:p w14:paraId="462E317C" w14:textId="77777777" w:rsidR="00682951" w:rsidRDefault="00682951">
      <w:pPr>
        <w:pBdr>
          <w:top w:val="nil"/>
          <w:left w:val="nil"/>
          <w:bottom w:val="nil"/>
          <w:right w:val="nil"/>
          <w:between w:val="nil"/>
        </w:pBdr>
        <w:jc w:val="center"/>
        <w:rPr>
          <w:b/>
          <w:color w:val="000000"/>
        </w:rPr>
      </w:pPr>
    </w:p>
    <w:p w14:paraId="752D36B7" w14:textId="77777777" w:rsidR="00682951" w:rsidRDefault="00CC4351">
      <w:pPr>
        <w:pBdr>
          <w:top w:val="nil"/>
          <w:left w:val="nil"/>
          <w:bottom w:val="nil"/>
          <w:right w:val="nil"/>
          <w:between w:val="nil"/>
        </w:pBdr>
        <w:jc w:val="center"/>
        <w:rPr>
          <w:b/>
          <w:color w:val="000000"/>
        </w:rPr>
      </w:pPr>
      <w:r>
        <w:rPr>
          <w:b/>
          <w:color w:val="000000"/>
        </w:rPr>
        <w:t>Figure 1</w:t>
      </w:r>
    </w:p>
    <w:p w14:paraId="6298EE0F" w14:textId="77777777" w:rsidR="00682951" w:rsidRDefault="00CC4351">
      <w:pPr>
        <w:pBdr>
          <w:top w:val="nil"/>
          <w:left w:val="nil"/>
          <w:bottom w:val="nil"/>
          <w:right w:val="nil"/>
          <w:between w:val="nil"/>
        </w:pBdr>
        <w:jc w:val="center"/>
        <w:rPr>
          <w:b/>
          <w:color w:val="000000"/>
        </w:rPr>
      </w:pPr>
      <w:r>
        <w:rPr>
          <w:b/>
          <w:color w:val="000000"/>
        </w:rPr>
        <w:t>Research model</w:t>
      </w:r>
    </w:p>
    <w:p w14:paraId="1FF19EBA" w14:textId="77777777" w:rsidR="00682951" w:rsidRDefault="00CC4351">
      <w:pPr>
        <w:pBdr>
          <w:top w:val="nil"/>
          <w:left w:val="nil"/>
          <w:bottom w:val="nil"/>
          <w:right w:val="nil"/>
          <w:between w:val="nil"/>
        </w:pBdr>
        <w:spacing w:line="480" w:lineRule="auto"/>
        <w:ind w:left="709" w:hanging="709"/>
        <w:jc w:val="center"/>
        <w:rPr>
          <w:color w:val="000000"/>
        </w:rPr>
      </w:pPr>
      <w:r>
        <w:rPr>
          <w:rFonts w:ascii="Calibri" w:eastAsia="Calibri" w:hAnsi="Calibri" w:cs="Calibri"/>
          <w:noProof/>
          <w:color w:val="000000"/>
          <w:sz w:val="22"/>
          <w:szCs w:val="22"/>
        </w:rPr>
        <w:drawing>
          <wp:inline distT="0" distB="0" distL="0" distR="0" wp14:anchorId="68CD01C2" wp14:editId="1BC95827">
            <wp:extent cx="5731510" cy="40544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731510" cy="4054475"/>
                    </a:xfrm>
                    <a:prstGeom prst="rect">
                      <a:avLst/>
                    </a:prstGeom>
                    <a:ln/>
                  </pic:spPr>
                </pic:pic>
              </a:graphicData>
            </a:graphic>
          </wp:inline>
        </w:drawing>
      </w:r>
    </w:p>
    <w:p w14:paraId="136300EB" w14:textId="77777777" w:rsidR="00682951" w:rsidRDefault="00682951">
      <w:pPr>
        <w:pBdr>
          <w:top w:val="nil"/>
          <w:left w:val="nil"/>
          <w:bottom w:val="nil"/>
          <w:right w:val="nil"/>
          <w:between w:val="nil"/>
        </w:pBdr>
        <w:jc w:val="center"/>
        <w:rPr>
          <w:b/>
          <w:color w:val="000000"/>
        </w:rPr>
      </w:pPr>
    </w:p>
    <w:p w14:paraId="5826E573" w14:textId="77777777" w:rsidR="00682951" w:rsidRDefault="00CC4351">
      <w:pPr>
        <w:pBdr>
          <w:top w:val="nil"/>
          <w:left w:val="nil"/>
          <w:bottom w:val="nil"/>
          <w:right w:val="nil"/>
          <w:between w:val="nil"/>
        </w:pBdr>
        <w:jc w:val="center"/>
        <w:rPr>
          <w:b/>
          <w:color w:val="000000"/>
        </w:rPr>
      </w:pPr>
      <w:r>
        <w:rPr>
          <w:b/>
          <w:color w:val="000000"/>
        </w:rPr>
        <w:t>Table 1</w:t>
      </w:r>
    </w:p>
    <w:p w14:paraId="673D61D0" w14:textId="77777777" w:rsidR="00682951" w:rsidRDefault="00CC4351">
      <w:pPr>
        <w:pBdr>
          <w:top w:val="nil"/>
          <w:left w:val="nil"/>
          <w:bottom w:val="nil"/>
          <w:right w:val="nil"/>
          <w:between w:val="nil"/>
        </w:pBdr>
        <w:jc w:val="center"/>
        <w:rPr>
          <w:color w:val="000000"/>
        </w:rPr>
      </w:pPr>
      <w:r>
        <w:rPr>
          <w:b/>
          <w:color w:val="000000"/>
        </w:rPr>
        <w:t xml:space="preserve"> </w:t>
      </w:r>
      <w:r>
        <w:rPr>
          <w:color w:val="000000"/>
        </w:rPr>
        <w:t xml:space="preserve">Frequencies (F) of the innovative business model </w:t>
      </w:r>
    </w:p>
    <w:p w14:paraId="38DE5E20" w14:textId="77777777" w:rsidR="00682951" w:rsidRDefault="00CC4351">
      <w:pPr>
        <w:pBdr>
          <w:top w:val="nil"/>
          <w:left w:val="nil"/>
          <w:bottom w:val="nil"/>
          <w:right w:val="nil"/>
          <w:between w:val="nil"/>
        </w:pBdr>
        <w:jc w:val="center"/>
        <w:rPr>
          <w:color w:val="000000"/>
        </w:rPr>
      </w:pPr>
      <w:r>
        <w:rPr>
          <w:color w:val="000000"/>
        </w:rPr>
        <w:t xml:space="preserve"> </w:t>
      </w:r>
    </w:p>
    <w:tbl>
      <w:tblPr>
        <w:tblStyle w:val="a"/>
        <w:tblW w:w="8619" w:type="dxa"/>
        <w:tblInd w:w="0" w:type="dxa"/>
        <w:tblBorders>
          <w:top w:val="single" w:sz="4" w:space="0" w:color="000000"/>
          <w:bottom w:val="single" w:sz="4" w:space="0" w:color="000000"/>
        </w:tblBorders>
        <w:tblLayout w:type="fixed"/>
        <w:tblLook w:val="0000" w:firstRow="0" w:lastRow="0" w:firstColumn="0" w:lastColumn="0" w:noHBand="0" w:noVBand="0"/>
      </w:tblPr>
      <w:tblGrid>
        <w:gridCol w:w="71"/>
        <w:gridCol w:w="4240"/>
        <w:gridCol w:w="2290"/>
        <w:gridCol w:w="2018"/>
      </w:tblGrid>
      <w:tr w:rsidR="00682951" w14:paraId="37573C52" w14:textId="77777777">
        <w:trPr>
          <w:trHeight w:val="60"/>
        </w:trPr>
        <w:tc>
          <w:tcPr>
            <w:tcW w:w="4311" w:type="dxa"/>
            <w:gridSpan w:val="2"/>
            <w:tcBorders>
              <w:top w:val="single" w:sz="4" w:space="0" w:color="000000"/>
              <w:bottom w:val="single" w:sz="4" w:space="0" w:color="000000"/>
            </w:tcBorders>
            <w:shd w:val="clear" w:color="auto" w:fill="FFFFFF"/>
            <w:vAlign w:val="bottom"/>
          </w:tcPr>
          <w:p w14:paraId="45CDCB3D" w14:textId="77777777" w:rsidR="00682951" w:rsidRDefault="00CC4351">
            <w:r>
              <w:t>Scale</w:t>
            </w:r>
          </w:p>
        </w:tc>
        <w:tc>
          <w:tcPr>
            <w:tcW w:w="2290" w:type="dxa"/>
            <w:tcBorders>
              <w:top w:val="single" w:sz="4" w:space="0" w:color="000000"/>
              <w:bottom w:val="single" w:sz="4" w:space="0" w:color="000000"/>
            </w:tcBorders>
            <w:shd w:val="clear" w:color="auto" w:fill="auto"/>
            <w:vAlign w:val="bottom"/>
          </w:tcPr>
          <w:p w14:paraId="02FAC64B" w14:textId="77777777" w:rsidR="00682951" w:rsidRDefault="00CC4351">
            <w:pPr>
              <w:ind w:left="60" w:right="60"/>
              <w:jc w:val="center"/>
              <w:rPr>
                <w:i/>
              </w:rPr>
            </w:pPr>
            <w:r>
              <w:rPr>
                <w:i/>
              </w:rPr>
              <w:t xml:space="preserve"> F</w:t>
            </w:r>
          </w:p>
        </w:tc>
        <w:tc>
          <w:tcPr>
            <w:tcW w:w="2018" w:type="dxa"/>
            <w:tcBorders>
              <w:top w:val="single" w:sz="4" w:space="0" w:color="000000"/>
              <w:bottom w:val="single" w:sz="4" w:space="0" w:color="000000"/>
            </w:tcBorders>
            <w:shd w:val="clear" w:color="auto" w:fill="FFFFFF"/>
            <w:vAlign w:val="bottom"/>
          </w:tcPr>
          <w:p w14:paraId="6995EAA2" w14:textId="77777777" w:rsidR="00682951" w:rsidRDefault="00CC4351">
            <w:pPr>
              <w:ind w:left="60" w:right="60"/>
              <w:jc w:val="center"/>
            </w:pPr>
            <w:r>
              <w:t>%</w:t>
            </w:r>
          </w:p>
        </w:tc>
      </w:tr>
      <w:tr w:rsidR="00682951" w14:paraId="474EB727" w14:textId="77777777">
        <w:trPr>
          <w:trHeight w:val="320"/>
        </w:trPr>
        <w:tc>
          <w:tcPr>
            <w:tcW w:w="71" w:type="dxa"/>
            <w:vMerge w:val="restart"/>
            <w:tcBorders>
              <w:top w:val="single" w:sz="4" w:space="0" w:color="000000"/>
            </w:tcBorders>
            <w:shd w:val="clear" w:color="auto" w:fill="FFFFFF"/>
          </w:tcPr>
          <w:p w14:paraId="28B1DCBF" w14:textId="77777777" w:rsidR="00682951" w:rsidRDefault="00682951">
            <w:pPr>
              <w:ind w:left="60" w:right="60"/>
            </w:pPr>
          </w:p>
        </w:tc>
        <w:tc>
          <w:tcPr>
            <w:tcW w:w="4240" w:type="dxa"/>
            <w:tcBorders>
              <w:top w:val="single" w:sz="4" w:space="0" w:color="000000"/>
            </w:tcBorders>
            <w:shd w:val="clear" w:color="auto" w:fill="FFFFFF"/>
          </w:tcPr>
          <w:p w14:paraId="4A6E65C0" w14:textId="77777777" w:rsidR="00682951" w:rsidRDefault="00CC4351">
            <w:pPr>
              <w:ind w:left="60" w:right="60"/>
            </w:pPr>
            <w:r>
              <w:t>Rarely</w:t>
            </w:r>
          </w:p>
        </w:tc>
        <w:tc>
          <w:tcPr>
            <w:tcW w:w="2290" w:type="dxa"/>
            <w:tcBorders>
              <w:top w:val="single" w:sz="4" w:space="0" w:color="000000"/>
            </w:tcBorders>
            <w:shd w:val="clear" w:color="auto" w:fill="FFFFFF"/>
            <w:vAlign w:val="center"/>
          </w:tcPr>
          <w:p w14:paraId="084252D7" w14:textId="77777777" w:rsidR="00682951" w:rsidRDefault="00CC4351">
            <w:pPr>
              <w:ind w:left="60" w:right="60"/>
              <w:jc w:val="center"/>
            </w:pPr>
            <w:r>
              <w:t xml:space="preserve"> 10</w:t>
            </w:r>
          </w:p>
        </w:tc>
        <w:tc>
          <w:tcPr>
            <w:tcW w:w="2018" w:type="dxa"/>
            <w:tcBorders>
              <w:top w:val="single" w:sz="4" w:space="0" w:color="000000"/>
            </w:tcBorders>
            <w:shd w:val="clear" w:color="auto" w:fill="FFFFFF"/>
            <w:vAlign w:val="center"/>
          </w:tcPr>
          <w:p w14:paraId="7370BEA5" w14:textId="77777777" w:rsidR="00682951" w:rsidRDefault="00CC4351">
            <w:pPr>
              <w:ind w:left="60" w:right="60"/>
              <w:jc w:val="center"/>
            </w:pPr>
            <w:r>
              <w:t xml:space="preserve">    4.9</w:t>
            </w:r>
          </w:p>
        </w:tc>
      </w:tr>
      <w:tr w:rsidR="00682951" w14:paraId="4B367DDB" w14:textId="77777777">
        <w:trPr>
          <w:trHeight w:val="180"/>
        </w:trPr>
        <w:tc>
          <w:tcPr>
            <w:tcW w:w="71" w:type="dxa"/>
            <w:vMerge/>
            <w:tcBorders>
              <w:top w:val="single" w:sz="4" w:space="0" w:color="000000"/>
            </w:tcBorders>
            <w:shd w:val="clear" w:color="auto" w:fill="FFFFFF"/>
          </w:tcPr>
          <w:p w14:paraId="31D52CB5" w14:textId="77777777" w:rsidR="00682951" w:rsidRDefault="00682951">
            <w:pPr>
              <w:widowControl w:val="0"/>
              <w:pBdr>
                <w:top w:val="nil"/>
                <w:left w:val="nil"/>
                <w:bottom w:val="nil"/>
                <w:right w:val="nil"/>
                <w:between w:val="nil"/>
              </w:pBdr>
              <w:spacing w:line="276" w:lineRule="auto"/>
            </w:pPr>
          </w:p>
        </w:tc>
        <w:tc>
          <w:tcPr>
            <w:tcW w:w="4240" w:type="dxa"/>
            <w:shd w:val="clear" w:color="auto" w:fill="FFFFFF"/>
          </w:tcPr>
          <w:p w14:paraId="5A20F7EA" w14:textId="77777777" w:rsidR="00682951" w:rsidRDefault="00CC4351">
            <w:pPr>
              <w:ind w:left="60" w:right="60"/>
            </w:pPr>
            <w:r>
              <w:t>Sometimes</w:t>
            </w:r>
          </w:p>
        </w:tc>
        <w:tc>
          <w:tcPr>
            <w:tcW w:w="2290" w:type="dxa"/>
            <w:shd w:val="clear" w:color="auto" w:fill="FFFFFF"/>
            <w:vAlign w:val="center"/>
          </w:tcPr>
          <w:p w14:paraId="3DD3B5E2" w14:textId="77777777" w:rsidR="00682951" w:rsidRDefault="00CC4351">
            <w:pPr>
              <w:ind w:left="60" w:right="60"/>
              <w:jc w:val="center"/>
            </w:pPr>
            <w:r>
              <w:t xml:space="preserve"> 68</w:t>
            </w:r>
          </w:p>
        </w:tc>
        <w:tc>
          <w:tcPr>
            <w:tcW w:w="2018" w:type="dxa"/>
            <w:shd w:val="clear" w:color="auto" w:fill="FFFFFF"/>
            <w:vAlign w:val="center"/>
          </w:tcPr>
          <w:p w14:paraId="7DF56BD3" w14:textId="77777777" w:rsidR="00682951" w:rsidRDefault="00CC4351">
            <w:pPr>
              <w:ind w:left="60" w:right="60"/>
              <w:jc w:val="center"/>
            </w:pPr>
            <w:r>
              <w:t xml:space="preserve">  33.0</w:t>
            </w:r>
          </w:p>
        </w:tc>
      </w:tr>
      <w:tr w:rsidR="00682951" w14:paraId="2FB6241F" w14:textId="77777777">
        <w:trPr>
          <w:trHeight w:val="200"/>
        </w:trPr>
        <w:tc>
          <w:tcPr>
            <w:tcW w:w="71" w:type="dxa"/>
            <w:vMerge/>
            <w:tcBorders>
              <w:top w:val="single" w:sz="4" w:space="0" w:color="000000"/>
            </w:tcBorders>
            <w:shd w:val="clear" w:color="auto" w:fill="FFFFFF"/>
          </w:tcPr>
          <w:p w14:paraId="04870C4F" w14:textId="77777777" w:rsidR="00682951" w:rsidRDefault="00682951">
            <w:pPr>
              <w:widowControl w:val="0"/>
              <w:pBdr>
                <w:top w:val="nil"/>
                <w:left w:val="nil"/>
                <w:bottom w:val="nil"/>
                <w:right w:val="nil"/>
                <w:between w:val="nil"/>
              </w:pBdr>
              <w:spacing w:line="276" w:lineRule="auto"/>
            </w:pPr>
          </w:p>
        </w:tc>
        <w:tc>
          <w:tcPr>
            <w:tcW w:w="4240" w:type="dxa"/>
            <w:shd w:val="clear" w:color="auto" w:fill="FFFFFF"/>
          </w:tcPr>
          <w:p w14:paraId="4BEFECB1" w14:textId="77777777" w:rsidR="00682951" w:rsidRDefault="00CC4351">
            <w:pPr>
              <w:ind w:left="60" w:right="60"/>
            </w:pPr>
            <w:r>
              <w:t>Very Often</w:t>
            </w:r>
          </w:p>
        </w:tc>
        <w:tc>
          <w:tcPr>
            <w:tcW w:w="2290" w:type="dxa"/>
            <w:shd w:val="clear" w:color="auto" w:fill="FFFFFF"/>
            <w:vAlign w:val="center"/>
          </w:tcPr>
          <w:p w14:paraId="4E5832C5" w14:textId="77777777" w:rsidR="00682951" w:rsidRDefault="00CC4351">
            <w:pPr>
              <w:ind w:left="60" w:right="60"/>
              <w:jc w:val="center"/>
            </w:pPr>
            <w:r>
              <w:t>103</w:t>
            </w:r>
          </w:p>
        </w:tc>
        <w:tc>
          <w:tcPr>
            <w:tcW w:w="2018" w:type="dxa"/>
            <w:shd w:val="clear" w:color="auto" w:fill="FFFFFF"/>
            <w:vAlign w:val="center"/>
          </w:tcPr>
          <w:p w14:paraId="28A07BB2" w14:textId="77777777" w:rsidR="00682951" w:rsidRDefault="00CC4351">
            <w:pPr>
              <w:ind w:left="60" w:right="60"/>
              <w:jc w:val="center"/>
            </w:pPr>
            <w:r>
              <w:t xml:space="preserve">  50.0</w:t>
            </w:r>
          </w:p>
        </w:tc>
      </w:tr>
      <w:tr w:rsidR="00682951" w14:paraId="489E0107" w14:textId="77777777">
        <w:trPr>
          <w:trHeight w:val="280"/>
        </w:trPr>
        <w:tc>
          <w:tcPr>
            <w:tcW w:w="71" w:type="dxa"/>
            <w:vMerge/>
            <w:tcBorders>
              <w:top w:val="single" w:sz="4" w:space="0" w:color="000000"/>
            </w:tcBorders>
            <w:shd w:val="clear" w:color="auto" w:fill="FFFFFF"/>
          </w:tcPr>
          <w:p w14:paraId="79948589" w14:textId="77777777" w:rsidR="00682951" w:rsidRDefault="00682951">
            <w:pPr>
              <w:widowControl w:val="0"/>
              <w:pBdr>
                <w:top w:val="nil"/>
                <w:left w:val="nil"/>
                <w:bottom w:val="nil"/>
                <w:right w:val="nil"/>
                <w:between w:val="nil"/>
              </w:pBdr>
              <w:spacing w:line="276" w:lineRule="auto"/>
            </w:pPr>
          </w:p>
        </w:tc>
        <w:tc>
          <w:tcPr>
            <w:tcW w:w="4240" w:type="dxa"/>
            <w:shd w:val="clear" w:color="auto" w:fill="FFFFFF"/>
          </w:tcPr>
          <w:p w14:paraId="51D3D586" w14:textId="77777777" w:rsidR="00682951" w:rsidRDefault="00CC4351">
            <w:pPr>
              <w:ind w:left="60" w:right="60"/>
            </w:pPr>
            <w:r>
              <w:t>Always</w:t>
            </w:r>
          </w:p>
        </w:tc>
        <w:tc>
          <w:tcPr>
            <w:tcW w:w="2290" w:type="dxa"/>
            <w:shd w:val="clear" w:color="auto" w:fill="FFFFFF"/>
            <w:vAlign w:val="center"/>
          </w:tcPr>
          <w:p w14:paraId="46B36027" w14:textId="77777777" w:rsidR="00682951" w:rsidRDefault="00CC4351">
            <w:pPr>
              <w:ind w:left="60" w:right="60"/>
              <w:jc w:val="center"/>
            </w:pPr>
            <w:r>
              <w:t xml:space="preserve">  25</w:t>
            </w:r>
          </w:p>
        </w:tc>
        <w:tc>
          <w:tcPr>
            <w:tcW w:w="2018" w:type="dxa"/>
            <w:shd w:val="clear" w:color="auto" w:fill="FFFFFF"/>
            <w:vAlign w:val="center"/>
          </w:tcPr>
          <w:p w14:paraId="6A7C9647" w14:textId="77777777" w:rsidR="00682951" w:rsidRDefault="00CC4351">
            <w:pPr>
              <w:ind w:left="60" w:right="60"/>
              <w:jc w:val="center"/>
            </w:pPr>
            <w:r>
              <w:t xml:space="preserve">  12.1</w:t>
            </w:r>
          </w:p>
        </w:tc>
      </w:tr>
      <w:tr w:rsidR="00682951" w14:paraId="118E1D24" w14:textId="77777777">
        <w:trPr>
          <w:trHeight w:val="80"/>
        </w:trPr>
        <w:tc>
          <w:tcPr>
            <w:tcW w:w="71" w:type="dxa"/>
            <w:vMerge/>
            <w:tcBorders>
              <w:top w:val="single" w:sz="4" w:space="0" w:color="000000"/>
            </w:tcBorders>
            <w:shd w:val="clear" w:color="auto" w:fill="FFFFFF"/>
          </w:tcPr>
          <w:p w14:paraId="709A3E36" w14:textId="77777777" w:rsidR="00682951" w:rsidRDefault="00682951">
            <w:pPr>
              <w:widowControl w:val="0"/>
              <w:pBdr>
                <w:top w:val="nil"/>
                <w:left w:val="nil"/>
                <w:bottom w:val="nil"/>
                <w:right w:val="nil"/>
                <w:between w:val="nil"/>
              </w:pBdr>
              <w:spacing w:line="276" w:lineRule="auto"/>
            </w:pPr>
          </w:p>
        </w:tc>
        <w:tc>
          <w:tcPr>
            <w:tcW w:w="4240" w:type="dxa"/>
            <w:shd w:val="clear" w:color="auto" w:fill="FFFFFF"/>
          </w:tcPr>
          <w:p w14:paraId="68518132" w14:textId="77777777" w:rsidR="00682951" w:rsidRDefault="00CC4351">
            <w:pPr>
              <w:ind w:left="60" w:right="60"/>
            </w:pPr>
            <w:r>
              <w:t>Total</w:t>
            </w:r>
          </w:p>
        </w:tc>
        <w:tc>
          <w:tcPr>
            <w:tcW w:w="2290" w:type="dxa"/>
            <w:shd w:val="clear" w:color="auto" w:fill="FFFFFF"/>
            <w:vAlign w:val="center"/>
          </w:tcPr>
          <w:p w14:paraId="19D64471" w14:textId="77777777" w:rsidR="00682951" w:rsidRDefault="00CC4351">
            <w:pPr>
              <w:ind w:left="60" w:right="60"/>
              <w:jc w:val="center"/>
            </w:pPr>
            <w:r>
              <w:t>206</w:t>
            </w:r>
          </w:p>
        </w:tc>
        <w:tc>
          <w:tcPr>
            <w:tcW w:w="2018" w:type="dxa"/>
            <w:shd w:val="clear" w:color="auto" w:fill="FFFFFF"/>
            <w:vAlign w:val="center"/>
          </w:tcPr>
          <w:p w14:paraId="4C0C5E65" w14:textId="77777777" w:rsidR="00682951" w:rsidRDefault="00CC4351">
            <w:pPr>
              <w:ind w:left="60" w:right="60"/>
              <w:jc w:val="center"/>
            </w:pPr>
            <w:r>
              <w:t>100.0</w:t>
            </w:r>
          </w:p>
        </w:tc>
      </w:tr>
    </w:tbl>
    <w:p w14:paraId="14009664" w14:textId="77777777" w:rsidR="00682951" w:rsidRDefault="00682951">
      <w:pPr>
        <w:jc w:val="center"/>
        <w:rPr>
          <w:b/>
        </w:rPr>
      </w:pPr>
    </w:p>
    <w:p w14:paraId="75964986" w14:textId="77777777" w:rsidR="00682951" w:rsidRDefault="00682951">
      <w:pPr>
        <w:jc w:val="center"/>
        <w:rPr>
          <w:b/>
        </w:rPr>
      </w:pPr>
    </w:p>
    <w:p w14:paraId="218F99A9" w14:textId="77777777" w:rsidR="00682951" w:rsidRDefault="00CC4351">
      <w:pPr>
        <w:jc w:val="center"/>
        <w:rPr>
          <w:b/>
        </w:rPr>
      </w:pPr>
      <w:r>
        <w:rPr>
          <w:b/>
        </w:rPr>
        <w:t>Table 2</w:t>
      </w:r>
    </w:p>
    <w:p w14:paraId="1D06A52A" w14:textId="77777777" w:rsidR="00682951" w:rsidRDefault="00CC4351">
      <w:pPr>
        <w:jc w:val="center"/>
      </w:pPr>
      <w:r>
        <w:rPr>
          <w:b/>
        </w:rPr>
        <w:t xml:space="preserve"> </w:t>
      </w:r>
      <w:r>
        <w:t>Frequencies of intellectual capital</w:t>
      </w:r>
    </w:p>
    <w:p w14:paraId="22FAFBA6" w14:textId="77777777" w:rsidR="00682951" w:rsidRDefault="00682951">
      <w:pPr>
        <w:jc w:val="center"/>
      </w:pPr>
    </w:p>
    <w:tbl>
      <w:tblPr>
        <w:tblStyle w:val="a0"/>
        <w:tblW w:w="8721" w:type="dxa"/>
        <w:tblInd w:w="0" w:type="dxa"/>
        <w:tblBorders>
          <w:top w:val="single" w:sz="4" w:space="0" w:color="000000"/>
          <w:bottom w:val="single" w:sz="4" w:space="0" w:color="000000"/>
        </w:tblBorders>
        <w:tblLayout w:type="fixed"/>
        <w:tblLook w:val="0000" w:firstRow="0" w:lastRow="0" w:firstColumn="0" w:lastColumn="0" w:noHBand="0" w:noVBand="0"/>
      </w:tblPr>
      <w:tblGrid>
        <w:gridCol w:w="74"/>
        <w:gridCol w:w="4288"/>
        <w:gridCol w:w="2317"/>
        <w:gridCol w:w="2042"/>
      </w:tblGrid>
      <w:tr w:rsidR="00682951" w14:paraId="390C6EDA" w14:textId="77777777">
        <w:trPr>
          <w:trHeight w:val="320"/>
        </w:trPr>
        <w:tc>
          <w:tcPr>
            <w:tcW w:w="4362" w:type="dxa"/>
            <w:gridSpan w:val="2"/>
            <w:tcBorders>
              <w:top w:val="single" w:sz="4" w:space="0" w:color="000000"/>
              <w:bottom w:val="single" w:sz="4" w:space="0" w:color="000000"/>
            </w:tcBorders>
            <w:shd w:val="clear" w:color="auto" w:fill="FFFFFF"/>
            <w:vAlign w:val="bottom"/>
          </w:tcPr>
          <w:p w14:paraId="1194DC69" w14:textId="77777777" w:rsidR="00682951" w:rsidRDefault="00CC4351">
            <w:pPr>
              <w:jc w:val="both"/>
            </w:pPr>
            <w:r>
              <w:t>Scale</w:t>
            </w:r>
          </w:p>
        </w:tc>
        <w:tc>
          <w:tcPr>
            <w:tcW w:w="2317" w:type="dxa"/>
            <w:tcBorders>
              <w:top w:val="single" w:sz="4" w:space="0" w:color="000000"/>
              <w:bottom w:val="single" w:sz="4" w:space="0" w:color="000000"/>
            </w:tcBorders>
            <w:shd w:val="clear" w:color="auto" w:fill="FFFFFF"/>
            <w:vAlign w:val="bottom"/>
          </w:tcPr>
          <w:p w14:paraId="16D8581A" w14:textId="77777777" w:rsidR="00682951" w:rsidRDefault="00CC4351">
            <w:pPr>
              <w:ind w:left="60" w:right="60"/>
              <w:jc w:val="center"/>
              <w:rPr>
                <w:i/>
              </w:rPr>
            </w:pPr>
            <w:r>
              <w:t xml:space="preserve">   </w:t>
            </w:r>
            <w:r>
              <w:rPr>
                <w:i/>
              </w:rPr>
              <w:t>F</w:t>
            </w:r>
          </w:p>
        </w:tc>
        <w:tc>
          <w:tcPr>
            <w:tcW w:w="2042" w:type="dxa"/>
            <w:tcBorders>
              <w:top w:val="single" w:sz="4" w:space="0" w:color="000000"/>
              <w:bottom w:val="single" w:sz="4" w:space="0" w:color="000000"/>
            </w:tcBorders>
            <w:shd w:val="clear" w:color="auto" w:fill="FFFFFF"/>
            <w:vAlign w:val="bottom"/>
          </w:tcPr>
          <w:p w14:paraId="04B89A84" w14:textId="77777777" w:rsidR="00682951" w:rsidRDefault="00CC4351">
            <w:pPr>
              <w:ind w:left="60" w:right="60"/>
              <w:jc w:val="center"/>
            </w:pPr>
            <w:r>
              <w:t xml:space="preserve">  %</w:t>
            </w:r>
          </w:p>
        </w:tc>
      </w:tr>
      <w:tr w:rsidR="00682951" w14:paraId="7C95030F" w14:textId="77777777">
        <w:trPr>
          <w:trHeight w:val="100"/>
        </w:trPr>
        <w:tc>
          <w:tcPr>
            <w:tcW w:w="74" w:type="dxa"/>
            <w:vMerge w:val="restart"/>
            <w:tcBorders>
              <w:top w:val="single" w:sz="4" w:space="0" w:color="000000"/>
            </w:tcBorders>
            <w:shd w:val="clear" w:color="auto" w:fill="FFFFFF"/>
          </w:tcPr>
          <w:p w14:paraId="2D05842D" w14:textId="77777777" w:rsidR="00682951" w:rsidRDefault="00682951">
            <w:pPr>
              <w:ind w:right="60"/>
            </w:pPr>
          </w:p>
        </w:tc>
        <w:tc>
          <w:tcPr>
            <w:tcW w:w="4288" w:type="dxa"/>
            <w:tcBorders>
              <w:top w:val="single" w:sz="4" w:space="0" w:color="000000"/>
            </w:tcBorders>
            <w:shd w:val="clear" w:color="auto" w:fill="FFFFFF"/>
          </w:tcPr>
          <w:p w14:paraId="47AC8A2A" w14:textId="77777777" w:rsidR="00682951" w:rsidRDefault="00CC4351">
            <w:pPr>
              <w:ind w:left="60" w:right="60"/>
            </w:pPr>
            <w:r>
              <w:t>Rarely</w:t>
            </w:r>
          </w:p>
        </w:tc>
        <w:tc>
          <w:tcPr>
            <w:tcW w:w="2317" w:type="dxa"/>
            <w:tcBorders>
              <w:top w:val="single" w:sz="4" w:space="0" w:color="000000"/>
            </w:tcBorders>
            <w:shd w:val="clear" w:color="auto" w:fill="FFFFFF"/>
            <w:vAlign w:val="center"/>
          </w:tcPr>
          <w:p w14:paraId="413D429A" w14:textId="77777777" w:rsidR="00682951" w:rsidRDefault="00CC4351">
            <w:pPr>
              <w:ind w:left="60" w:right="60"/>
              <w:jc w:val="center"/>
            </w:pPr>
            <w:r>
              <w:t xml:space="preserve">    2</w:t>
            </w:r>
          </w:p>
        </w:tc>
        <w:tc>
          <w:tcPr>
            <w:tcW w:w="2042" w:type="dxa"/>
            <w:tcBorders>
              <w:top w:val="single" w:sz="4" w:space="0" w:color="000000"/>
            </w:tcBorders>
            <w:shd w:val="clear" w:color="auto" w:fill="FFFFFF"/>
            <w:vAlign w:val="center"/>
          </w:tcPr>
          <w:p w14:paraId="6630E383" w14:textId="77777777" w:rsidR="00682951" w:rsidRDefault="00CC4351">
            <w:pPr>
              <w:ind w:left="60" w:right="60"/>
              <w:jc w:val="center"/>
            </w:pPr>
            <w:r>
              <w:t xml:space="preserve">    1.0</w:t>
            </w:r>
          </w:p>
        </w:tc>
      </w:tr>
      <w:tr w:rsidR="00682951" w14:paraId="01019C1D" w14:textId="77777777">
        <w:trPr>
          <w:trHeight w:val="160"/>
        </w:trPr>
        <w:tc>
          <w:tcPr>
            <w:tcW w:w="74" w:type="dxa"/>
            <w:vMerge/>
            <w:tcBorders>
              <w:top w:val="single" w:sz="4" w:space="0" w:color="000000"/>
            </w:tcBorders>
            <w:shd w:val="clear" w:color="auto" w:fill="FFFFFF"/>
          </w:tcPr>
          <w:p w14:paraId="7BA35AEB" w14:textId="77777777" w:rsidR="00682951" w:rsidRDefault="00682951">
            <w:pPr>
              <w:widowControl w:val="0"/>
              <w:pBdr>
                <w:top w:val="nil"/>
                <w:left w:val="nil"/>
                <w:bottom w:val="nil"/>
                <w:right w:val="nil"/>
                <w:between w:val="nil"/>
              </w:pBdr>
              <w:spacing w:line="276" w:lineRule="auto"/>
            </w:pPr>
          </w:p>
        </w:tc>
        <w:tc>
          <w:tcPr>
            <w:tcW w:w="4288" w:type="dxa"/>
            <w:shd w:val="clear" w:color="auto" w:fill="FFFFFF"/>
          </w:tcPr>
          <w:p w14:paraId="44E3EEF8" w14:textId="77777777" w:rsidR="00682951" w:rsidRDefault="00CC4351">
            <w:pPr>
              <w:ind w:left="60" w:right="60"/>
            </w:pPr>
            <w:r>
              <w:t>Sometimes</w:t>
            </w:r>
          </w:p>
        </w:tc>
        <w:tc>
          <w:tcPr>
            <w:tcW w:w="2317" w:type="dxa"/>
            <w:shd w:val="clear" w:color="auto" w:fill="FFFFFF"/>
            <w:vAlign w:val="center"/>
          </w:tcPr>
          <w:p w14:paraId="775374D6" w14:textId="77777777" w:rsidR="00682951" w:rsidRDefault="00CC4351">
            <w:pPr>
              <w:ind w:left="60" w:right="60"/>
              <w:jc w:val="center"/>
            </w:pPr>
            <w:r>
              <w:t xml:space="preserve">  38</w:t>
            </w:r>
          </w:p>
        </w:tc>
        <w:tc>
          <w:tcPr>
            <w:tcW w:w="2042" w:type="dxa"/>
            <w:shd w:val="clear" w:color="auto" w:fill="FFFFFF"/>
            <w:vAlign w:val="center"/>
          </w:tcPr>
          <w:p w14:paraId="57B6204A" w14:textId="77777777" w:rsidR="00682951" w:rsidRDefault="00CC4351">
            <w:pPr>
              <w:ind w:left="60" w:right="60"/>
              <w:jc w:val="center"/>
            </w:pPr>
            <w:r>
              <w:t xml:space="preserve">  18.4</w:t>
            </w:r>
          </w:p>
        </w:tc>
      </w:tr>
      <w:tr w:rsidR="00682951" w14:paraId="2DA1CF53" w14:textId="77777777">
        <w:trPr>
          <w:trHeight w:val="200"/>
        </w:trPr>
        <w:tc>
          <w:tcPr>
            <w:tcW w:w="74" w:type="dxa"/>
            <w:vMerge/>
            <w:tcBorders>
              <w:top w:val="single" w:sz="4" w:space="0" w:color="000000"/>
            </w:tcBorders>
            <w:shd w:val="clear" w:color="auto" w:fill="FFFFFF"/>
          </w:tcPr>
          <w:p w14:paraId="35CEC739" w14:textId="77777777" w:rsidR="00682951" w:rsidRDefault="00682951">
            <w:pPr>
              <w:widowControl w:val="0"/>
              <w:pBdr>
                <w:top w:val="nil"/>
                <w:left w:val="nil"/>
                <w:bottom w:val="nil"/>
                <w:right w:val="nil"/>
                <w:between w:val="nil"/>
              </w:pBdr>
              <w:spacing w:line="276" w:lineRule="auto"/>
            </w:pPr>
          </w:p>
        </w:tc>
        <w:tc>
          <w:tcPr>
            <w:tcW w:w="4288" w:type="dxa"/>
            <w:shd w:val="clear" w:color="auto" w:fill="FFFFFF"/>
          </w:tcPr>
          <w:p w14:paraId="58BDA282" w14:textId="77777777" w:rsidR="00682951" w:rsidRDefault="00CC4351">
            <w:pPr>
              <w:ind w:left="60" w:right="60"/>
            </w:pPr>
            <w:r>
              <w:t>Very Often</w:t>
            </w:r>
          </w:p>
        </w:tc>
        <w:tc>
          <w:tcPr>
            <w:tcW w:w="2317" w:type="dxa"/>
            <w:shd w:val="clear" w:color="auto" w:fill="FFFFFF"/>
            <w:vAlign w:val="center"/>
          </w:tcPr>
          <w:p w14:paraId="7E10417F" w14:textId="77777777" w:rsidR="00682951" w:rsidRDefault="00CC4351">
            <w:pPr>
              <w:ind w:left="60" w:right="60"/>
              <w:jc w:val="center"/>
            </w:pPr>
            <w:r>
              <w:t>118</w:t>
            </w:r>
          </w:p>
        </w:tc>
        <w:tc>
          <w:tcPr>
            <w:tcW w:w="2042" w:type="dxa"/>
            <w:shd w:val="clear" w:color="auto" w:fill="FFFFFF"/>
            <w:vAlign w:val="center"/>
          </w:tcPr>
          <w:p w14:paraId="50AD9108" w14:textId="77777777" w:rsidR="00682951" w:rsidRDefault="00CC4351">
            <w:pPr>
              <w:ind w:left="60" w:right="60"/>
              <w:jc w:val="center"/>
            </w:pPr>
            <w:r>
              <w:t xml:space="preserve">  57.3</w:t>
            </w:r>
          </w:p>
        </w:tc>
      </w:tr>
      <w:tr w:rsidR="00682951" w14:paraId="125A73E3" w14:textId="77777777">
        <w:trPr>
          <w:trHeight w:val="60"/>
        </w:trPr>
        <w:tc>
          <w:tcPr>
            <w:tcW w:w="74" w:type="dxa"/>
            <w:vMerge/>
            <w:tcBorders>
              <w:top w:val="single" w:sz="4" w:space="0" w:color="000000"/>
            </w:tcBorders>
            <w:shd w:val="clear" w:color="auto" w:fill="FFFFFF"/>
          </w:tcPr>
          <w:p w14:paraId="339B80D0" w14:textId="77777777" w:rsidR="00682951" w:rsidRDefault="00682951">
            <w:pPr>
              <w:widowControl w:val="0"/>
              <w:pBdr>
                <w:top w:val="nil"/>
                <w:left w:val="nil"/>
                <w:bottom w:val="nil"/>
                <w:right w:val="nil"/>
                <w:between w:val="nil"/>
              </w:pBdr>
              <w:spacing w:line="276" w:lineRule="auto"/>
            </w:pPr>
          </w:p>
        </w:tc>
        <w:tc>
          <w:tcPr>
            <w:tcW w:w="4288" w:type="dxa"/>
            <w:shd w:val="clear" w:color="auto" w:fill="FFFFFF"/>
          </w:tcPr>
          <w:p w14:paraId="6FA98759" w14:textId="77777777" w:rsidR="00682951" w:rsidRDefault="00CC4351">
            <w:pPr>
              <w:ind w:left="60" w:right="60"/>
            </w:pPr>
            <w:r>
              <w:t>Always</w:t>
            </w:r>
          </w:p>
        </w:tc>
        <w:tc>
          <w:tcPr>
            <w:tcW w:w="2317" w:type="dxa"/>
            <w:shd w:val="clear" w:color="auto" w:fill="FFFFFF"/>
            <w:vAlign w:val="center"/>
          </w:tcPr>
          <w:p w14:paraId="55BA4EBA" w14:textId="77777777" w:rsidR="00682951" w:rsidRDefault="00CC4351">
            <w:pPr>
              <w:ind w:left="60" w:right="60"/>
              <w:jc w:val="center"/>
            </w:pPr>
            <w:r>
              <w:t xml:space="preserve">  48</w:t>
            </w:r>
          </w:p>
        </w:tc>
        <w:tc>
          <w:tcPr>
            <w:tcW w:w="2042" w:type="dxa"/>
            <w:shd w:val="clear" w:color="auto" w:fill="FFFFFF"/>
            <w:vAlign w:val="center"/>
          </w:tcPr>
          <w:p w14:paraId="676B16E6" w14:textId="77777777" w:rsidR="00682951" w:rsidRDefault="00CC4351">
            <w:pPr>
              <w:ind w:left="60" w:right="60"/>
              <w:jc w:val="center"/>
            </w:pPr>
            <w:r>
              <w:t xml:space="preserve">  23.3</w:t>
            </w:r>
          </w:p>
        </w:tc>
      </w:tr>
      <w:tr w:rsidR="00682951" w14:paraId="0374E8F3" w14:textId="77777777">
        <w:trPr>
          <w:trHeight w:val="60"/>
        </w:trPr>
        <w:tc>
          <w:tcPr>
            <w:tcW w:w="74" w:type="dxa"/>
            <w:vMerge/>
            <w:tcBorders>
              <w:top w:val="single" w:sz="4" w:space="0" w:color="000000"/>
            </w:tcBorders>
            <w:shd w:val="clear" w:color="auto" w:fill="FFFFFF"/>
          </w:tcPr>
          <w:p w14:paraId="331C8862" w14:textId="77777777" w:rsidR="00682951" w:rsidRDefault="00682951">
            <w:pPr>
              <w:widowControl w:val="0"/>
              <w:pBdr>
                <w:top w:val="nil"/>
                <w:left w:val="nil"/>
                <w:bottom w:val="nil"/>
                <w:right w:val="nil"/>
                <w:between w:val="nil"/>
              </w:pBdr>
              <w:spacing w:line="276" w:lineRule="auto"/>
            </w:pPr>
          </w:p>
        </w:tc>
        <w:tc>
          <w:tcPr>
            <w:tcW w:w="4288" w:type="dxa"/>
            <w:shd w:val="clear" w:color="auto" w:fill="FFFFFF"/>
          </w:tcPr>
          <w:p w14:paraId="68A8E4ED" w14:textId="77777777" w:rsidR="00682951" w:rsidRDefault="00CC4351">
            <w:pPr>
              <w:ind w:left="60" w:right="60"/>
            </w:pPr>
            <w:r>
              <w:t>Total</w:t>
            </w:r>
          </w:p>
        </w:tc>
        <w:tc>
          <w:tcPr>
            <w:tcW w:w="2317" w:type="dxa"/>
            <w:shd w:val="clear" w:color="auto" w:fill="FFFFFF"/>
            <w:vAlign w:val="center"/>
          </w:tcPr>
          <w:p w14:paraId="32634352" w14:textId="77777777" w:rsidR="00682951" w:rsidRDefault="00CC4351">
            <w:pPr>
              <w:ind w:left="60" w:right="60"/>
              <w:jc w:val="center"/>
            </w:pPr>
            <w:r>
              <w:t>206</w:t>
            </w:r>
          </w:p>
        </w:tc>
        <w:tc>
          <w:tcPr>
            <w:tcW w:w="2042" w:type="dxa"/>
            <w:shd w:val="clear" w:color="auto" w:fill="FFFFFF"/>
            <w:vAlign w:val="center"/>
          </w:tcPr>
          <w:p w14:paraId="251A77DC" w14:textId="77777777" w:rsidR="00682951" w:rsidRDefault="00CC4351">
            <w:pPr>
              <w:ind w:left="60" w:right="60"/>
              <w:jc w:val="center"/>
            </w:pPr>
            <w:r>
              <w:t>100.0</w:t>
            </w:r>
          </w:p>
        </w:tc>
      </w:tr>
    </w:tbl>
    <w:p w14:paraId="37196455" w14:textId="77777777" w:rsidR="00682951" w:rsidRDefault="00682951">
      <w:pPr>
        <w:jc w:val="center"/>
        <w:rPr>
          <w:b/>
        </w:rPr>
      </w:pPr>
    </w:p>
    <w:p w14:paraId="642AD13E" w14:textId="77777777" w:rsidR="00682951" w:rsidRDefault="00682951">
      <w:pPr>
        <w:jc w:val="center"/>
        <w:rPr>
          <w:b/>
        </w:rPr>
      </w:pPr>
    </w:p>
    <w:p w14:paraId="59AA127C" w14:textId="77777777" w:rsidR="00682951" w:rsidRDefault="00CC4351">
      <w:pPr>
        <w:jc w:val="center"/>
        <w:rPr>
          <w:b/>
        </w:rPr>
      </w:pPr>
      <w:r>
        <w:rPr>
          <w:b/>
        </w:rPr>
        <w:t>Table 3</w:t>
      </w:r>
    </w:p>
    <w:p w14:paraId="6C940C84" w14:textId="77777777" w:rsidR="00682951" w:rsidRDefault="00CC4351">
      <w:pPr>
        <w:jc w:val="center"/>
      </w:pPr>
      <w:r>
        <w:rPr>
          <w:b/>
        </w:rPr>
        <w:t xml:space="preserve"> </w:t>
      </w:r>
      <w:r>
        <w:t xml:space="preserve">Frequencies of business reengineering </w:t>
      </w:r>
    </w:p>
    <w:p w14:paraId="06B10C42" w14:textId="77777777" w:rsidR="00682951" w:rsidRDefault="00682951">
      <w:pPr>
        <w:jc w:val="center"/>
      </w:pPr>
    </w:p>
    <w:tbl>
      <w:tblPr>
        <w:tblStyle w:val="a1"/>
        <w:tblW w:w="8783" w:type="dxa"/>
        <w:tblInd w:w="0" w:type="dxa"/>
        <w:tblBorders>
          <w:top w:val="single" w:sz="4" w:space="0" w:color="000000"/>
          <w:bottom w:val="single" w:sz="4" w:space="0" w:color="000000"/>
        </w:tblBorders>
        <w:tblLayout w:type="fixed"/>
        <w:tblLook w:val="0000" w:firstRow="0" w:lastRow="0" w:firstColumn="0" w:lastColumn="0" w:noHBand="0" w:noVBand="0"/>
      </w:tblPr>
      <w:tblGrid>
        <w:gridCol w:w="70"/>
        <w:gridCol w:w="4326"/>
        <w:gridCol w:w="2332"/>
        <w:gridCol w:w="2055"/>
      </w:tblGrid>
      <w:tr w:rsidR="00682951" w14:paraId="73128CA4" w14:textId="77777777">
        <w:trPr>
          <w:trHeight w:val="200"/>
        </w:trPr>
        <w:tc>
          <w:tcPr>
            <w:tcW w:w="4396" w:type="dxa"/>
            <w:gridSpan w:val="2"/>
            <w:tcBorders>
              <w:top w:val="single" w:sz="4" w:space="0" w:color="000000"/>
              <w:bottom w:val="single" w:sz="4" w:space="0" w:color="000000"/>
            </w:tcBorders>
            <w:shd w:val="clear" w:color="auto" w:fill="FFFFFF"/>
            <w:vAlign w:val="bottom"/>
          </w:tcPr>
          <w:p w14:paraId="512FED75" w14:textId="77777777" w:rsidR="00682951" w:rsidRDefault="00CC4351">
            <w:r>
              <w:t>Scale</w:t>
            </w:r>
          </w:p>
        </w:tc>
        <w:tc>
          <w:tcPr>
            <w:tcW w:w="2332" w:type="dxa"/>
            <w:tcBorders>
              <w:top w:val="single" w:sz="4" w:space="0" w:color="000000"/>
              <w:bottom w:val="single" w:sz="4" w:space="0" w:color="000000"/>
            </w:tcBorders>
            <w:shd w:val="clear" w:color="auto" w:fill="FFFFFF"/>
            <w:vAlign w:val="bottom"/>
          </w:tcPr>
          <w:p w14:paraId="36B58529" w14:textId="77777777" w:rsidR="00682951" w:rsidRDefault="00CC4351">
            <w:pPr>
              <w:ind w:left="60" w:right="60"/>
              <w:jc w:val="center"/>
              <w:rPr>
                <w:i/>
              </w:rPr>
            </w:pPr>
            <w:r>
              <w:rPr>
                <w:i/>
              </w:rPr>
              <w:t xml:space="preserve">  F</w:t>
            </w:r>
          </w:p>
        </w:tc>
        <w:tc>
          <w:tcPr>
            <w:tcW w:w="2055" w:type="dxa"/>
            <w:tcBorders>
              <w:top w:val="single" w:sz="4" w:space="0" w:color="000000"/>
              <w:bottom w:val="single" w:sz="4" w:space="0" w:color="000000"/>
            </w:tcBorders>
            <w:shd w:val="clear" w:color="auto" w:fill="FFFFFF"/>
            <w:vAlign w:val="bottom"/>
          </w:tcPr>
          <w:p w14:paraId="6CC23FB2" w14:textId="77777777" w:rsidR="00682951" w:rsidRDefault="00CC4351">
            <w:pPr>
              <w:ind w:left="60" w:right="60"/>
              <w:jc w:val="center"/>
            </w:pPr>
            <w:r>
              <w:t xml:space="preserve">   %</w:t>
            </w:r>
          </w:p>
        </w:tc>
      </w:tr>
      <w:tr w:rsidR="00682951" w14:paraId="083540C2" w14:textId="77777777">
        <w:trPr>
          <w:trHeight w:val="220"/>
        </w:trPr>
        <w:tc>
          <w:tcPr>
            <w:tcW w:w="70" w:type="dxa"/>
            <w:vMerge w:val="restart"/>
            <w:tcBorders>
              <w:top w:val="single" w:sz="4" w:space="0" w:color="000000"/>
            </w:tcBorders>
            <w:shd w:val="clear" w:color="auto" w:fill="FFFFFF"/>
          </w:tcPr>
          <w:p w14:paraId="29AA6EE2" w14:textId="77777777" w:rsidR="00682951" w:rsidRDefault="00682951">
            <w:pPr>
              <w:ind w:right="60"/>
            </w:pPr>
          </w:p>
        </w:tc>
        <w:tc>
          <w:tcPr>
            <w:tcW w:w="4326" w:type="dxa"/>
            <w:tcBorders>
              <w:top w:val="single" w:sz="4" w:space="0" w:color="000000"/>
            </w:tcBorders>
            <w:shd w:val="clear" w:color="auto" w:fill="FFFFFF"/>
          </w:tcPr>
          <w:p w14:paraId="0A6C9EF5" w14:textId="77777777" w:rsidR="00682951" w:rsidRDefault="00CC4351">
            <w:pPr>
              <w:ind w:left="60" w:right="60"/>
            </w:pPr>
            <w:r>
              <w:t>Rarely</w:t>
            </w:r>
          </w:p>
        </w:tc>
        <w:tc>
          <w:tcPr>
            <w:tcW w:w="2332" w:type="dxa"/>
            <w:tcBorders>
              <w:top w:val="single" w:sz="4" w:space="0" w:color="000000"/>
            </w:tcBorders>
            <w:shd w:val="clear" w:color="auto" w:fill="FFFFFF"/>
            <w:vAlign w:val="center"/>
          </w:tcPr>
          <w:p w14:paraId="041AE217" w14:textId="77777777" w:rsidR="00682951" w:rsidRDefault="00CC4351">
            <w:pPr>
              <w:ind w:right="60"/>
              <w:jc w:val="center"/>
            </w:pPr>
            <w:r>
              <w:t xml:space="preserve">    5</w:t>
            </w:r>
          </w:p>
        </w:tc>
        <w:tc>
          <w:tcPr>
            <w:tcW w:w="2055" w:type="dxa"/>
            <w:tcBorders>
              <w:top w:val="single" w:sz="4" w:space="0" w:color="000000"/>
            </w:tcBorders>
            <w:shd w:val="clear" w:color="auto" w:fill="FFFFFF"/>
            <w:vAlign w:val="center"/>
          </w:tcPr>
          <w:p w14:paraId="166051F7" w14:textId="77777777" w:rsidR="00682951" w:rsidRDefault="00CC4351">
            <w:pPr>
              <w:ind w:left="60" w:right="60"/>
              <w:jc w:val="center"/>
            </w:pPr>
            <w:r>
              <w:t xml:space="preserve">    2.4</w:t>
            </w:r>
          </w:p>
        </w:tc>
      </w:tr>
      <w:tr w:rsidR="00682951" w14:paraId="2AE9CD35" w14:textId="77777777">
        <w:trPr>
          <w:trHeight w:val="80"/>
        </w:trPr>
        <w:tc>
          <w:tcPr>
            <w:tcW w:w="70" w:type="dxa"/>
            <w:vMerge/>
            <w:tcBorders>
              <w:top w:val="single" w:sz="4" w:space="0" w:color="000000"/>
            </w:tcBorders>
            <w:shd w:val="clear" w:color="auto" w:fill="FFFFFF"/>
          </w:tcPr>
          <w:p w14:paraId="7E0205A6" w14:textId="77777777" w:rsidR="00682951" w:rsidRDefault="00682951">
            <w:pPr>
              <w:widowControl w:val="0"/>
              <w:pBdr>
                <w:top w:val="nil"/>
                <w:left w:val="nil"/>
                <w:bottom w:val="nil"/>
                <w:right w:val="nil"/>
                <w:between w:val="nil"/>
              </w:pBdr>
              <w:spacing w:line="276" w:lineRule="auto"/>
            </w:pPr>
          </w:p>
        </w:tc>
        <w:tc>
          <w:tcPr>
            <w:tcW w:w="4326" w:type="dxa"/>
            <w:shd w:val="clear" w:color="auto" w:fill="FFFFFF"/>
          </w:tcPr>
          <w:p w14:paraId="2E9FB3D5" w14:textId="77777777" w:rsidR="00682951" w:rsidRDefault="00CC4351">
            <w:pPr>
              <w:ind w:left="60" w:right="60"/>
            </w:pPr>
            <w:r>
              <w:t>Sometimes</w:t>
            </w:r>
          </w:p>
        </w:tc>
        <w:tc>
          <w:tcPr>
            <w:tcW w:w="2332" w:type="dxa"/>
            <w:shd w:val="clear" w:color="auto" w:fill="FFFFFF"/>
            <w:vAlign w:val="center"/>
          </w:tcPr>
          <w:p w14:paraId="3FC2B60A" w14:textId="77777777" w:rsidR="00682951" w:rsidRDefault="00CC4351">
            <w:pPr>
              <w:ind w:left="60" w:right="60"/>
              <w:jc w:val="center"/>
            </w:pPr>
            <w:r>
              <w:t xml:space="preserve">  38</w:t>
            </w:r>
          </w:p>
        </w:tc>
        <w:tc>
          <w:tcPr>
            <w:tcW w:w="2055" w:type="dxa"/>
            <w:shd w:val="clear" w:color="auto" w:fill="FFFFFF"/>
            <w:vAlign w:val="center"/>
          </w:tcPr>
          <w:p w14:paraId="2BCE784C" w14:textId="77777777" w:rsidR="00682951" w:rsidRDefault="00CC4351">
            <w:pPr>
              <w:ind w:left="60" w:right="60"/>
              <w:jc w:val="center"/>
            </w:pPr>
            <w:r>
              <w:t xml:space="preserve">  18.4</w:t>
            </w:r>
          </w:p>
        </w:tc>
      </w:tr>
      <w:tr w:rsidR="00682951" w14:paraId="7BD044C2" w14:textId="77777777">
        <w:trPr>
          <w:trHeight w:val="140"/>
        </w:trPr>
        <w:tc>
          <w:tcPr>
            <w:tcW w:w="70" w:type="dxa"/>
            <w:vMerge/>
            <w:tcBorders>
              <w:top w:val="single" w:sz="4" w:space="0" w:color="000000"/>
            </w:tcBorders>
            <w:shd w:val="clear" w:color="auto" w:fill="FFFFFF"/>
          </w:tcPr>
          <w:p w14:paraId="66723CAC" w14:textId="77777777" w:rsidR="00682951" w:rsidRDefault="00682951">
            <w:pPr>
              <w:widowControl w:val="0"/>
              <w:pBdr>
                <w:top w:val="nil"/>
                <w:left w:val="nil"/>
                <w:bottom w:val="nil"/>
                <w:right w:val="nil"/>
                <w:between w:val="nil"/>
              </w:pBdr>
              <w:spacing w:line="276" w:lineRule="auto"/>
            </w:pPr>
          </w:p>
        </w:tc>
        <w:tc>
          <w:tcPr>
            <w:tcW w:w="4326" w:type="dxa"/>
            <w:shd w:val="clear" w:color="auto" w:fill="FFFFFF"/>
          </w:tcPr>
          <w:p w14:paraId="478E8B32" w14:textId="77777777" w:rsidR="00682951" w:rsidRDefault="00CC4351">
            <w:pPr>
              <w:ind w:left="60" w:right="60"/>
            </w:pPr>
            <w:r>
              <w:t>Very Often</w:t>
            </w:r>
          </w:p>
        </w:tc>
        <w:tc>
          <w:tcPr>
            <w:tcW w:w="2332" w:type="dxa"/>
            <w:shd w:val="clear" w:color="auto" w:fill="FFFFFF"/>
            <w:vAlign w:val="center"/>
          </w:tcPr>
          <w:p w14:paraId="427EC88B" w14:textId="77777777" w:rsidR="00682951" w:rsidRDefault="00CC4351">
            <w:pPr>
              <w:ind w:left="60" w:right="60"/>
              <w:jc w:val="center"/>
            </w:pPr>
            <w:r>
              <w:t>112</w:t>
            </w:r>
          </w:p>
        </w:tc>
        <w:tc>
          <w:tcPr>
            <w:tcW w:w="2055" w:type="dxa"/>
            <w:shd w:val="clear" w:color="auto" w:fill="FFFFFF"/>
            <w:vAlign w:val="center"/>
          </w:tcPr>
          <w:p w14:paraId="14E04BFF" w14:textId="77777777" w:rsidR="00682951" w:rsidRDefault="00CC4351">
            <w:pPr>
              <w:ind w:left="60" w:right="60"/>
              <w:jc w:val="center"/>
            </w:pPr>
            <w:r>
              <w:t xml:space="preserve">  54.4</w:t>
            </w:r>
          </w:p>
        </w:tc>
      </w:tr>
      <w:tr w:rsidR="00682951" w14:paraId="76F55B4A" w14:textId="77777777">
        <w:trPr>
          <w:trHeight w:val="160"/>
        </w:trPr>
        <w:tc>
          <w:tcPr>
            <w:tcW w:w="70" w:type="dxa"/>
            <w:vMerge/>
            <w:tcBorders>
              <w:top w:val="single" w:sz="4" w:space="0" w:color="000000"/>
            </w:tcBorders>
            <w:shd w:val="clear" w:color="auto" w:fill="FFFFFF"/>
          </w:tcPr>
          <w:p w14:paraId="7FEABF7B" w14:textId="77777777" w:rsidR="00682951" w:rsidRDefault="00682951">
            <w:pPr>
              <w:widowControl w:val="0"/>
              <w:pBdr>
                <w:top w:val="nil"/>
                <w:left w:val="nil"/>
                <w:bottom w:val="nil"/>
                <w:right w:val="nil"/>
                <w:between w:val="nil"/>
              </w:pBdr>
              <w:spacing w:line="276" w:lineRule="auto"/>
            </w:pPr>
          </w:p>
        </w:tc>
        <w:tc>
          <w:tcPr>
            <w:tcW w:w="4326" w:type="dxa"/>
            <w:shd w:val="clear" w:color="auto" w:fill="FFFFFF"/>
          </w:tcPr>
          <w:p w14:paraId="6BC0DF5F" w14:textId="77777777" w:rsidR="00682951" w:rsidRDefault="00CC4351">
            <w:pPr>
              <w:ind w:left="60" w:right="60"/>
            </w:pPr>
            <w:r>
              <w:t>Always</w:t>
            </w:r>
          </w:p>
        </w:tc>
        <w:tc>
          <w:tcPr>
            <w:tcW w:w="2332" w:type="dxa"/>
            <w:shd w:val="clear" w:color="auto" w:fill="FFFFFF"/>
            <w:vAlign w:val="center"/>
          </w:tcPr>
          <w:p w14:paraId="61462BEE" w14:textId="77777777" w:rsidR="00682951" w:rsidRDefault="00CC4351">
            <w:pPr>
              <w:ind w:left="60" w:right="60"/>
              <w:jc w:val="center"/>
            </w:pPr>
            <w:r>
              <w:t xml:space="preserve">  51</w:t>
            </w:r>
          </w:p>
        </w:tc>
        <w:tc>
          <w:tcPr>
            <w:tcW w:w="2055" w:type="dxa"/>
            <w:shd w:val="clear" w:color="auto" w:fill="FFFFFF"/>
            <w:vAlign w:val="center"/>
          </w:tcPr>
          <w:p w14:paraId="5C10435E" w14:textId="77777777" w:rsidR="00682951" w:rsidRDefault="00CC4351">
            <w:pPr>
              <w:ind w:left="60" w:right="60"/>
              <w:jc w:val="center"/>
            </w:pPr>
            <w:r>
              <w:t xml:space="preserve">  24.8</w:t>
            </w:r>
          </w:p>
        </w:tc>
      </w:tr>
      <w:tr w:rsidR="00682951" w14:paraId="43139D13" w14:textId="77777777">
        <w:trPr>
          <w:trHeight w:val="240"/>
        </w:trPr>
        <w:tc>
          <w:tcPr>
            <w:tcW w:w="70" w:type="dxa"/>
            <w:vMerge/>
            <w:tcBorders>
              <w:top w:val="single" w:sz="4" w:space="0" w:color="000000"/>
            </w:tcBorders>
            <w:shd w:val="clear" w:color="auto" w:fill="FFFFFF"/>
          </w:tcPr>
          <w:p w14:paraId="3DBC2689" w14:textId="77777777" w:rsidR="00682951" w:rsidRDefault="00682951">
            <w:pPr>
              <w:widowControl w:val="0"/>
              <w:pBdr>
                <w:top w:val="nil"/>
                <w:left w:val="nil"/>
                <w:bottom w:val="nil"/>
                <w:right w:val="nil"/>
                <w:between w:val="nil"/>
              </w:pBdr>
              <w:spacing w:line="276" w:lineRule="auto"/>
            </w:pPr>
          </w:p>
        </w:tc>
        <w:tc>
          <w:tcPr>
            <w:tcW w:w="4326" w:type="dxa"/>
            <w:shd w:val="clear" w:color="auto" w:fill="FFFFFF"/>
          </w:tcPr>
          <w:p w14:paraId="761F2AF6" w14:textId="77777777" w:rsidR="00682951" w:rsidRDefault="00CC4351">
            <w:pPr>
              <w:ind w:left="60" w:right="60"/>
            </w:pPr>
            <w:r>
              <w:t>Total</w:t>
            </w:r>
          </w:p>
        </w:tc>
        <w:tc>
          <w:tcPr>
            <w:tcW w:w="2332" w:type="dxa"/>
            <w:shd w:val="clear" w:color="auto" w:fill="FFFFFF"/>
            <w:vAlign w:val="center"/>
          </w:tcPr>
          <w:p w14:paraId="24C00D5D" w14:textId="77777777" w:rsidR="00682951" w:rsidRDefault="00CC4351">
            <w:pPr>
              <w:ind w:left="60" w:right="60"/>
              <w:jc w:val="center"/>
            </w:pPr>
            <w:r>
              <w:t>206</w:t>
            </w:r>
          </w:p>
        </w:tc>
        <w:tc>
          <w:tcPr>
            <w:tcW w:w="2055" w:type="dxa"/>
            <w:shd w:val="clear" w:color="auto" w:fill="FFFFFF"/>
            <w:vAlign w:val="center"/>
          </w:tcPr>
          <w:p w14:paraId="76CD7522" w14:textId="77777777" w:rsidR="00682951" w:rsidRDefault="00CC4351">
            <w:pPr>
              <w:ind w:left="60" w:right="60"/>
              <w:jc w:val="center"/>
            </w:pPr>
            <w:r>
              <w:t>100.0</w:t>
            </w:r>
          </w:p>
        </w:tc>
      </w:tr>
    </w:tbl>
    <w:p w14:paraId="627DC854" w14:textId="77777777" w:rsidR="00682951" w:rsidRDefault="00682951">
      <w:pPr>
        <w:pBdr>
          <w:top w:val="nil"/>
          <w:left w:val="nil"/>
          <w:bottom w:val="nil"/>
          <w:right w:val="nil"/>
          <w:between w:val="nil"/>
        </w:pBdr>
        <w:jc w:val="center"/>
        <w:rPr>
          <w:b/>
          <w:color w:val="000000"/>
        </w:rPr>
      </w:pPr>
    </w:p>
    <w:p w14:paraId="0E7B23F9" w14:textId="77777777" w:rsidR="00682951" w:rsidRDefault="00682951">
      <w:pPr>
        <w:pBdr>
          <w:top w:val="nil"/>
          <w:left w:val="nil"/>
          <w:bottom w:val="nil"/>
          <w:right w:val="nil"/>
          <w:between w:val="nil"/>
        </w:pBdr>
        <w:jc w:val="center"/>
        <w:rPr>
          <w:b/>
          <w:color w:val="000000"/>
        </w:rPr>
      </w:pPr>
    </w:p>
    <w:p w14:paraId="251FB8B0" w14:textId="77777777" w:rsidR="00682951" w:rsidRDefault="00CC4351">
      <w:pPr>
        <w:pBdr>
          <w:top w:val="nil"/>
          <w:left w:val="nil"/>
          <w:bottom w:val="nil"/>
          <w:right w:val="nil"/>
          <w:between w:val="nil"/>
        </w:pBdr>
        <w:jc w:val="center"/>
        <w:rPr>
          <w:b/>
          <w:color w:val="000000"/>
        </w:rPr>
      </w:pPr>
      <w:r>
        <w:rPr>
          <w:b/>
          <w:color w:val="000000"/>
        </w:rPr>
        <w:t xml:space="preserve">Table 4 </w:t>
      </w:r>
    </w:p>
    <w:p w14:paraId="4CFCF860" w14:textId="77777777" w:rsidR="00682951" w:rsidRDefault="00CC4351">
      <w:pPr>
        <w:pBdr>
          <w:top w:val="nil"/>
          <w:left w:val="nil"/>
          <w:bottom w:val="nil"/>
          <w:right w:val="nil"/>
          <w:between w:val="nil"/>
        </w:pBdr>
        <w:jc w:val="center"/>
        <w:rPr>
          <w:color w:val="000000"/>
        </w:rPr>
      </w:pPr>
      <w:r>
        <w:rPr>
          <w:color w:val="000000"/>
        </w:rPr>
        <w:t xml:space="preserve">Business performance frequencies  </w:t>
      </w:r>
    </w:p>
    <w:p w14:paraId="1FD15CCF" w14:textId="77777777" w:rsidR="00682951" w:rsidRDefault="00682951">
      <w:pPr>
        <w:pBdr>
          <w:top w:val="nil"/>
          <w:left w:val="nil"/>
          <w:bottom w:val="nil"/>
          <w:right w:val="nil"/>
          <w:between w:val="nil"/>
        </w:pBdr>
        <w:rPr>
          <w:color w:val="000000"/>
        </w:rPr>
      </w:pPr>
    </w:p>
    <w:tbl>
      <w:tblPr>
        <w:tblStyle w:val="a2"/>
        <w:tblW w:w="8849" w:type="dxa"/>
        <w:tblInd w:w="0" w:type="dxa"/>
        <w:tblBorders>
          <w:top w:val="single" w:sz="4" w:space="0" w:color="000000"/>
          <w:bottom w:val="single" w:sz="4" w:space="0" w:color="000000"/>
        </w:tblBorders>
        <w:tblLayout w:type="fixed"/>
        <w:tblLook w:val="0000" w:firstRow="0" w:lastRow="0" w:firstColumn="0" w:lastColumn="0" w:noHBand="0" w:noVBand="0"/>
      </w:tblPr>
      <w:tblGrid>
        <w:gridCol w:w="75"/>
        <w:gridCol w:w="4351"/>
        <w:gridCol w:w="2352"/>
        <w:gridCol w:w="2071"/>
      </w:tblGrid>
      <w:tr w:rsidR="00682951" w14:paraId="398AF4F4" w14:textId="77777777">
        <w:trPr>
          <w:trHeight w:val="220"/>
        </w:trPr>
        <w:tc>
          <w:tcPr>
            <w:tcW w:w="4426" w:type="dxa"/>
            <w:gridSpan w:val="2"/>
            <w:tcBorders>
              <w:top w:val="single" w:sz="4" w:space="0" w:color="000000"/>
              <w:bottom w:val="single" w:sz="4" w:space="0" w:color="000000"/>
            </w:tcBorders>
            <w:shd w:val="clear" w:color="auto" w:fill="FFFFFF"/>
            <w:vAlign w:val="bottom"/>
          </w:tcPr>
          <w:p w14:paraId="3DE23430" w14:textId="77777777" w:rsidR="00682951" w:rsidRDefault="00CC4351">
            <w:r>
              <w:t>Scale</w:t>
            </w:r>
          </w:p>
        </w:tc>
        <w:tc>
          <w:tcPr>
            <w:tcW w:w="2352" w:type="dxa"/>
            <w:tcBorders>
              <w:top w:val="single" w:sz="4" w:space="0" w:color="000000"/>
              <w:bottom w:val="single" w:sz="4" w:space="0" w:color="000000"/>
            </w:tcBorders>
            <w:shd w:val="clear" w:color="auto" w:fill="FFFFFF"/>
            <w:vAlign w:val="bottom"/>
          </w:tcPr>
          <w:p w14:paraId="29F8D7C0" w14:textId="77777777" w:rsidR="00682951" w:rsidRDefault="00CC4351">
            <w:pPr>
              <w:ind w:right="60"/>
              <w:jc w:val="center"/>
              <w:rPr>
                <w:i/>
              </w:rPr>
            </w:pPr>
            <w:r>
              <w:t xml:space="preserve">   </w:t>
            </w:r>
            <w:r>
              <w:rPr>
                <w:i/>
              </w:rPr>
              <w:t>F</w:t>
            </w:r>
          </w:p>
        </w:tc>
        <w:tc>
          <w:tcPr>
            <w:tcW w:w="2071" w:type="dxa"/>
            <w:tcBorders>
              <w:top w:val="single" w:sz="4" w:space="0" w:color="000000"/>
              <w:bottom w:val="single" w:sz="4" w:space="0" w:color="000000"/>
            </w:tcBorders>
            <w:shd w:val="clear" w:color="auto" w:fill="FFFFFF"/>
            <w:vAlign w:val="bottom"/>
          </w:tcPr>
          <w:p w14:paraId="4A79B113" w14:textId="77777777" w:rsidR="00682951" w:rsidRDefault="00CC4351">
            <w:pPr>
              <w:ind w:right="60"/>
              <w:jc w:val="center"/>
            </w:pPr>
            <w:r>
              <w:t xml:space="preserve">   %</w:t>
            </w:r>
          </w:p>
        </w:tc>
      </w:tr>
      <w:tr w:rsidR="00682951" w14:paraId="0E789D61" w14:textId="77777777">
        <w:trPr>
          <w:trHeight w:val="200"/>
        </w:trPr>
        <w:tc>
          <w:tcPr>
            <w:tcW w:w="75" w:type="dxa"/>
            <w:vMerge w:val="restart"/>
            <w:tcBorders>
              <w:top w:val="single" w:sz="4" w:space="0" w:color="000000"/>
            </w:tcBorders>
            <w:shd w:val="clear" w:color="auto" w:fill="FFFFFF"/>
          </w:tcPr>
          <w:p w14:paraId="22E40052" w14:textId="77777777" w:rsidR="00682951" w:rsidRDefault="00682951">
            <w:pPr>
              <w:ind w:right="60"/>
            </w:pPr>
          </w:p>
        </w:tc>
        <w:tc>
          <w:tcPr>
            <w:tcW w:w="4351" w:type="dxa"/>
            <w:tcBorders>
              <w:top w:val="single" w:sz="4" w:space="0" w:color="000000"/>
            </w:tcBorders>
            <w:shd w:val="clear" w:color="auto" w:fill="FFFFFF"/>
          </w:tcPr>
          <w:p w14:paraId="1FED0ECD" w14:textId="77777777" w:rsidR="00682951" w:rsidRDefault="00CC4351">
            <w:pPr>
              <w:ind w:left="60" w:right="60"/>
            </w:pPr>
            <w:r>
              <w:t>Rarely</w:t>
            </w:r>
          </w:p>
        </w:tc>
        <w:tc>
          <w:tcPr>
            <w:tcW w:w="2352" w:type="dxa"/>
            <w:tcBorders>
              <w:top w:val="single" w:sz="4" w:space="0" w:color="000000"/>
            </w:tcBorders>
            <w:shd w:val="clear" w:color="auto" w:fill="FFFFFF"/>
            <w:vAlign w:val="center"/>
          </w:tcPr>
          <w:p w14:paraId="645D8D1C" w14:textId="77777777" w:rsidR="00682951" w:rsidRDefault="00CC4351">
            <w:pPr>
              <w:ind w:left="60" w:right="60"/>
              <w:jc w:val="center"/>
            </w:pPr>
            <w:r>
              <w:t xml:space="preserve">    3</w:t>
            </w:r>
          </w:p>
        </w:tc>
        <w:tc>
          <w:tcPr>
            <w:tcW w:w="2071" w:type="dxa"/>
            <w:tcBorders>
              <w:top w:val="single" w:sz="4" w:space="0" w:color="000000"/>
            </w:tcBorders>
            <w:shd w:val="clear" w:color="auto" w:fill="FFFFFF"/>
            <w:vAlign w:val="center"/>
          </w:tcPr>
          <w:p w14:paraId="73FB65AD" w14:textId="77777777" w:rsidR="00682951" w:rsidRDefault="00CC4351">
            <w:pPr>
              <w:ind w:left="60" w:right="60"/>
              <w:jc w:val="center"/>
            </w:pPr>
            <w:r>
              <w:t xml:space="preserve">    1.5</w:t>
            </w:r>
          </w:p>
        </w:tc>
      </w:tr>
      <w:tr w:rsidR="00682951" w14:paraId="1297279F" w14:textId="77777777">
        <w:trPr>
          <w:trHeight w:val="240"/>
        </w:trPr>
        <w:tc>
          <w:tcPr>
            <w:tcW w:w="75" w:type="dxa"/>
            <w:vMerge/>
            <w:tcBorders>
              <w:top w:val="single" w:sz="4" w:space="0" w:color="000000"/>
            </w:tcBorders>
            <w:shd w:val="clear" w:color="auto" w:fill="FFFFFF"/>
          </w:tcPr>
          <w:p w14:paraId="443A4BB5" w14:textId="77777777" w:rsidR="00682951" w:rsidRDefault="00682951">
            <w:pPr>
              <w:widowControl w:val="0"/>
              <w:pBdr>
                <w:top w:val="nil"/>
                <w:left w:val="nil"/>
                <w:bottom w:val="nil"/>
                <w:right w:val="nil"/>
                <w:between w:val="nil"/>
              </w:pBdr>
              <w:spacing w:line="276" w:lineRule="auto"/>
            </w:pPr>
          </w:p>
        </w:tc>
        <w:tc>
          <w:tcPr>
            <w:tcW w:w="4351" w:type="dxa"/>
            <w:shd w:val="clear" w:color="auto" w:fill="FFFFFF"/>
          </w:tcPr>
          <w:p w14:paraId="0B7744CF" w14:textId="77777777" w:rsidR="00682951" w:rsidRDefault="00CC4351">
            <w:pPr>
              <w:ind w:left="60" w:right="60"/>
            </w:pPr>
            <w:r>
              <w:t>Sometimes</w:t>
            </w:r>
          </w:p>
        </w:tc>
        <w:tc>
          <w:tcPr>
            <w:tcW w:w="2352" w:type="dxa"/>
            <w:shd w:val="clear" w:color="auto" w:fill="FFFFFF"/>
            <w:vAlign w:val="center"/>
          </w:tcPr>
          <w:p w14:paraId="79977BCF" w14:textId="77777777" w:rsidR="00682951" w:rsidRDefault="00CC4351">
            <w:pPr>
              <w:ind w:left="60" w:right="60"/>
              <w:jc w:val="center"/>
            </w:pPr>
            <w:r>
              <w:t xml:space="preserve">  15</w:t>
            </w:r>
          </w:p>
        </w:tc>
        <w:tc>
          <w:tcPr>
            <w:tcW w:w="2071" w:type="dxa"/>
            <w:shd w:val="clear" w:color="auto" w:fill="FFFFFF"/>
            <w:vAlign w:val="center"/>
          </w:tcPr>
          <w:p w14:paraId="4375A065" w14:textId="77777777" w:rsidR="00682951" w:rsidRDefault="00CC4351">
            <w:pPr>
              <w:ind w:left="60" w:right="60"/>
              <w:jc w:val="center"/>
            </w:pPr>
            <w:r>
              <w:t xml:space="preserve">    7.3</w:t>
            </w:r>
          </w:p>
        </w:tc>
      </w:tr>
      <w:tr w:rsidR="00682951" w14:paraId="53C3ED10" w14:textId="77777777">
        <w:trPr>
          <w:trHeight w:val="160"/>
        </w:trPr>
        <w:tc>
          <w:tcPr>
            <w:tcW w:w="75" w:type="dxa"/>
            <w:vMerge/>
            <w:tcBorders>
              <w:top w:val="single" w:sz="4" w:space="0" w:color="000000"/>
            </w:tcBorders>
            <w:shd w:val="clear" w:color="auto" w:fill="FFFFFF"/>
          </w:tcPr>
          <w:p w14:paraId="4BD7CBF0" w14:textId="77777777" w:rsidR="00682951" w:rsidRDefault="00682951">
            <w:pPr>
              <w:widowControl w:val="0"/>
              <w:pBdr>
                <w:top w:val="nil"/>
                <w:left w:val="nil"/>
                <w:bottom w:val="nil"/>
                <w:right w:val="nil"/>
                <w:between w:val="nil"/>
              </w:pBdr>
              <w:spacing w:line="276" w:lineRule="auto"/>
            </w:pPr>
          </w:p>
        </w:tc>
        <w:tc>
          <w:tcPr>
            <w:tcW w:w="4351" w:type="dxa"/>
            <w:shd w:val="clear" w:color="auto" w:fill="FFFFFF"/>
          </w:tcPr>
          <w:p w14:paraId="30B79379" w14:textId="77777777" w:rsidR="00682951" w:rsidRDefault="00CC4351">
            <w:pPr>
              <w:ind w:left="60" w:right="60"/>
            </w:pPr>
            <w:r>
              <w:t>Very Often</w:t>
            </w:r>
          </w:p>
        </w:tc>
        <w:tc>
          <w:tcPr>
            <w:tcW w:w="2352" w:type="dxa"/>
            <w:shd w:val="clear" w:color="auto" w:fill="FFFFFF"/>
            <w:vAlign w:val="center"/>
          </w:tcPr>
          <w:p w14:paraId="0DA16845" w14:textId="77777777" w:rsidR="00682951" w:rsidRDefault="00CC4351">
            <w:pPr>
              <w:ind w:left="60" w:right="60"/>
              <w:jc w:val="center"/>
            </w:pPr>
            <w:r>
              <w:t>103</w:t>
            </w:r>
          </w:p>
        </w:tc>
        <w:tc>
          <w:tcPr>
            <w:tcW w:w="2071" w:type="dxa"/>
            <w:shd w:val="clear" w:color="auto" w:fill="FFFFFF"/>
            <w:vAlign w:val="center"/>
          </w:tcPr>
          <w:p w14:paraId="0429D458" w14:textId="77777777" w:rsidR="00682951" w:rsidRDefault="00CC4351">
            <w:pPr>
              <w:ind w:left="60" w:right="60"/>
              <w:jc w:val="center"/>
            </w:pPr>
            <w:r>
              <w:t xml:space="preserve">  50.0</w:t>
            </w:r>
          </w:p>
        </w:tc>
      </w:tr>
      <w:tr w:rsidR="00682951" w14:paraId="3F256B66" w14:textId="77777777">
        <w:trPr>
          <w:trHeight w:val="200"/>
        </w:trPr>
        <w:tc>
          <w:tcPr>
            <w:tcW w:w="75" w:type="dxa"/>
            <w:vMerge/>
            <w:tcBorders>
              <w:top w:val="single" w:sz="4" w:space="0" w:color="000000"/>
            </w:tcBorders>
            <w:shd w:val="clear" w:color="auto" w:fill="FFFFFF"/>
          </w:tcPr>
          <w:p w14:paraId="1E6A6864" w14:textId="77777777" w:rsidR="00682951" w:rsidRDefault="00682951">
            <w:pPr>
              <w:widowControl w:val="0"/>
              <w:pBdr>
                <w:top w:val="nil"/>
                <w:left w:val="nil"/>
                <w:bottom w:val="nil"/>
                <w:right w:val="nil"/>
                <w:between w:val="nil"/>
              </w:pBdr>
              <w:spacing w:line="276" w:lineRule="auto"/>
            </w:pPr>
          </w:p>
        </w:tc>
        <w:tc>
          <w:tcPr>
            <w:tcW w:w="4351" w:type="dxa"/>
            <w:shd w:val="clear" w:color="auto" w:fill="FFFFFF"/>
          </w:tcPr>
          <w:p w14:paraId="7333752E" w14:textId="77777777" w:rsidR="00682951" w:rsidRDefault="00CC4351">
            <w:pPr>
              <w:ind w:left="60" w:right="60"/>
            </w:pPr>
            <w:r>
              <w:t>Always</w:t>
            </w:r>
          </w:p>
        </w:tc>
        <w:tc>
          <w:tcPr>
            <w:tcW w:w="2352" w:type="dxa"/>
            <w:shd w:val="clear" w:color="auto" w:fill="FFFFFF"/>
            <w:vAlign w:val="center"/>
          </w:tcPr>
          <w:p w14:paraId="18235009" w14:textId="77777777" w:rsidR="00682951" w:rsidRDefault="00CC4351">
            <w:pPr>
              <w:ind w:left="60" w:right="60"/>
              <w:jc w:val="center"/>
            </w:pPr>
            <w:r>
              <w:t xml:space="preserve">  85</w:t>
            </w:r>
          </w:p>
        </w:tc>
        <w:tc>
          <w:tcPr>
            <w:tcW w:w="2071" w:type="dxa"/>
            <w:shd w:val="clear" w:color="auto" w:fill="FFFFFF"/>
            <w:vAlign w:val="center"/>
          </w:tcPr>
          <w:p w14:paraId="1DC23985" w14:textId="77777777" w:rsidR="00682951" w:rsidRDefault="00CC4351">
            <w:pPr>
              <w:ind w:left="60" w:right="60"/>
              <w:jc w:val="center"/>
            </w:pPr>
            <w:r>
              <w:t xml:space="preserve">  41.3</w:t>
            </w:r>
          </w:p>
        </w:tc>
      </w:tr>
      <w:tr w:rsidR="00682951" w14:paraId="0D7E4236" w14:textId="77777777">
        <w:trPr>
          <w:trHeight w:val="100"/>
        </w:trPr>
        <w:tc>
          <w:tcPr>
            <w:tcW w:w="75" w:type="dxa"/>
            <w:vMerge/>
            <w:tcBorders>
              <w:top w:val="single" w:sz="4" w:space="0" w:color="000000"/>
            </w:tcBorders>
            <w:shd w:val="clear" w:color="auto" w:fill="FFFFFF"/>
          </w:tcPr>
          <w:p w14:paraId="1995F7DB" w14:textId="77777777" w:rsidR="00682951" w:rsidRDefault="00682951">
            <w:pPr>
              <w:widowControl w:val="0"/>
              <w:pBdr>
                <w:top w:val="nil"/>
                <w:left w:val="nil"/>
                <w:bottom w:val="nil"/>
                <w:right w:val="nil"/>
                <w:between w:val="nil"/>
              </w:pBdr>
              <w:spacing w:line="276" w:lineRule="auto"/>
            </w:pPr>
          </w:p>
        </w:tc>
        <w:tc>
          <w:tcPr>
            <w:tcW w:w="4351" w:type="dxa"/>
            <w:shd w:val="clear" w:color="auto" w:fill="FFFFFF"/>
          </w:tcPr>
          <w:p w14:paraId="29525132" w14:textId="77777777" w:rsidR="00682951" w:rsidRDefault="00CC4351">
            <w:pPr>
              <w:ind w:left="60" w:right="60"/>
            </w:pPr>
            <w:r>
              <w:t>Total</w:t>
            </w:r>
          </w:p>
        </w:tc>
        <w:tc>
          <w:tcPr>
            <w:tcW w:w="2352" w:type="dxa"/>
            <w:shd w:val="clear" w:color="auto" w:fill="FFFFFF"/>
            <w:vAlign w:val="center"/>
          </w:tcPr>
          <w:p w14:paraId="5601AD53" w14:textId="77777777" w:rsidR="00682951" w:rsidRDefault="00CC4351">
            <w:pPr>
              <w:ind w:left="60" w:right="60"/>
              <w:jc w:val="center"/>
            </w:pPr>
            <w:r>
              <w:t>206</w:t>
            </w:r>
          </w:p>
        </w:tc>
        <w:tc>
          <w:tcPr>
            <w:tcW w:w="2071" w:type="dxa"/>
            <w:shd w:val="clear" w:color="auto" w:fill="FFFFFF"/>
            <w:vAlign w:val="center"/>
          </w:tcPr>
          <w:p w14:paraId="196331E8" w14:textId="77777777" w:rsidR="00682951" w:rsidRDefault="00CC4351">
            <w:pPr>
              <w:ind w:left="60" w:right="60"/>
              <w:jc w:val="center"/>
            </w:pPr>
            <w:r>
              <w:t>100.0</w:t>
            </w:r>
          </w:p>
        </w:tc>
      </w:tr>
    </w:tbl>
    <w:p w14:paraId="3FBEDC8C" w14:textId="77777777" w:rsidR="00682951" w:rsidRDefault="00682951">
      <w:pPr>
        <w:pBdr>
          <w:top w:val="nil"/>
          <w:left w:val="nil"/>
          <w:bottom w:val="nil"/>
          <w:right w:val="nil"/>
          <w:between w:val="nil"/>
        </w:pBdr>
        <w:spacing w:line="480" w:lineRule="auto"/>
        <w:ind w:firstLine="432"/>
        <w:rPr>
          <w:i/>
          <w:color w:val="000000"/>
        </w:rPr>
      </w:pPr>
    </w:p>
    <w:p w14:paraId="181FB2EA" w14:textId="77777777" w:rsidR="00682951" w:rsidRDefault="00CC4351">
      <w:pPr>
        <w:pBdr>
          <w:top w:val="nil"/>
          <w:left w:val="nil"/>
          <w:bottom w:val="nil"/>
          <w:right w:val="nil"/>
          <w:between w:val="nil"/>
        </w:pBdr>
        <w:jc w:val="center"/>
        <w:rPr>
          <w:b/>
          <w:color w:val="000000"/>
        </w:rPr>
      </w:pPr>
      <w:r>
        <w:rPr>
          <w:b/>
          <w:color w:val="000000"/>
        </w:rPr>
        <w:t xml:space="preserve">Figure 2 </w:t>
      </w:r>
    </w:p>
    <w:p w14:paraId="131F7C80" w14:textId="77777777" w:rsidR="00682951" w:rsidRDefault="00CC4351">
      <w:pPr>
        <w:pBdr>
          <w:top w:val="nil"/>
          <w:left w:val="nil"/>
          <w:bottom w:val="nil"/>
          <w:right w:val="nil"/>
          <w:between w:val="nil"/>
        </w:pBdr>
        <w:jc w:val="center"/>
        <w:rPr>
          <w:color w:val="000000"/>
        </w:rPr>
      </w:pPr>
      <w:r>
        <w:rPr>
          <w:color w:val="000000"/>
        </w:rPr>
        <w:t xml:space="preserve">Model with standardized coefficients  </w:t>
      </w:r>
    </w:p>
    <w:p w14:paraId="39F7E489" w14:textId="77777777" w:rsidR="00682951" w:rsidRDefault="00CC4351">
      <w:pPr>
        <w:pBdr>
          <w:top w:val="nil"/>
          <w:left w:val="nil"/>
          <w:bottom w:val="nil"/>
          <w:right w:val="nil"/>
          <w:between w:val="nil"/>
        </w:pBdr>
        <w:spacing w:line="480" w:lineRule="auto"/>
        <w:jc w:val="center"/>
        <w:rPr>
          <w:color w:val="0070C0"/>
        </w:rPr>
      </w:pPr>
      <w:r>
        <w:rPr>
          <w:noProof/>
          <w:color w:val="000000"/>
        </w:rPr>
        <w:lastRenderedPageBreak/>
        <w:drawing>
          <wp:inline distT="0" distB="0" distL="0" distR="0" wp14:anchorId="1647A07E" wp14:editId="54E4D0D2">
            <wp:extent cx="5731510" cy="405447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731510" cy="4054475"/>
                    </a:xfrm>
                    <a:prstGeom prst="rect">
                      <a:avLst/>
                    </a:prstGeom>
                    <a:ln/>
                  </pic:spPr>
                </pic:pic>
              </a:graphicData>
            </a:graphic>
          </wp:inline>
        </w:drawing>
      </w:r>
    </w:p>
    <w:p w14:paraId="760731C9" w14:textId="77777777" w:rsidR="00682951" w:rsidRDefault="00CC4351">
      <w:pPr>
        <w:tabs>
          <w:tab w:val="left" w:pos="1709"/>
        </w:tabs>
        <w:jc w:val="center"/>
        <w:rPr>
          <w:b/>
          <w:color w:val="000000"/>
        </w:rPr>
      </w:pPr>
      <w:r>
        <w:rPr>
          <w:b/>
          <w:color w:val="000000"/>
        </w:rPr>
        <w:t>Table 5</w:t>
      </w:r>
    </w:p>
    <w:p w14:paraId="0D0DD9F1" w14:textId="77777777" w:rsidR="00682951" w:rsidRDefault="00CC4351">
      <w:pPr>
        <w:tabs>
          <w:tab w:val="left" w:pos="1709"/>
        </w:tabs>
        <w:jc w:val="center"/>
        <w:rPr>
          <w:b/>
          <w:color w:val="000000"/>
        </w:rPr>
      </w:pPr>
      <w:r>
        <w:rPr>
          <w:b/>
          <w:color w:val="000000"/>
        </w:rPr>
        <w:t xml:space="preserve"> </w:t>
      </w:r>
    </w:p>
    <w:p w14:paraId="676EB802" w14:textId="77777777" w:rsidR="00682951" w:rsidRDefault="00CC4351">
      <w:pPr>
        <w:tabs>
          <w:tab w:val="left" w:pos="1709"/>
        </w:tabs>
        <w:jc w:val="center"/>
        <w:rPr>
          <w:rFonts w:ascii="Calibri" w:eastAsia="Calibri" w:hAnsi="Calibri" w:cs="Calibri"/>
        </w:rPr>
      </w:pPr>
      <w:r>
        <w:rPr>
          <w:color w:val="000000"/>
        </w:rPr>
        <w:t>G</w:t>
      </w:r>
      <w:r>
        <w:rPr>
          <w:rFonts w:ascii="Calibri" w:eastAsia="Calibri" w:hAnsi="Calibri" w:cs="Calibri"/>
        </w:rPr>
        <w:t>oodness of fit statistics</w:t>
      </w:r>
    </w:p>
    <w:p w14:paraId="1D960D2E" w14:textId="77777777" w:rsidR="00682951" w:rsidRDefault="00682951">
      <w:pPr>
        <w:tabs>
          <w:tab w:val="left" w:pos="1709"/>
        </w:tabs>
        <w:jc w:val="center"/>
        <w:rPr>
          <w:rFonts w:ascii="Calibri" w:eastAsia="Calibri" w:hAnsi="Calibri" w:cs="Calibri"/>
        </w:rPr>
      </w:pPr>
    </w:p>
    <w:tbl>
      <w:tblPr>
        <w:tblStyle w:val="a3"/>
        <w:tblW w:w="8222" w:type="dxa"/>
        <w:tblInd w:w="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2958"/>
        <w:gridCol w:w="1801"/>
        <w:gridCol w:w="3463"/>
      </w:tblGrid>
      <w:tr w:rsidR="00682951" w14:paraId="60598707" w14:textId="77777777">
        <w:trPr>
          <w:trHeight w:val="320"/>
        </w:trPr>
        <w:tc>
          <w:tcPr>
            <w:tcW w:w="2958" w:type="dxa"/>
            <w:tcBorders>
              <w:top w:val="single" w:sz="4" w:space="0" w:color="000000"/>
              <w:bottom w:val="single" w:sz="4" w:space="0" w:color="000000"/>
            </w:tcBorders>
            <w:vAlign w:val="center"/>
          </w:tcPr>
          <w:p w14:paraId="20845922" w14:textId="77777777" w:rsidR="00682951" w:rsidRDefault="00CC4351">
            <w:pPr>
              <w:pBdr>
                <w:top w:val="nil"/>
                <w:left w:val="nil"/>
                <w:bottom w:val="nil"/>
                <w:right w:val="nil"/>
                <w:between w:val="nil"/>
              </w:pBdr>
              <w:jc w:val="center"/>
              <w:rPr>
                <w:color w:val="000000"/>
              </w:rPr>
            </w:pPr>
            <w:r>
              <w:rPr>
                <w:color w:val="000000"/>
              </w:rPr>
              <w:t>Statistic</w:t>
            </w:r>
          </w:p>
        </w:tc>
        <w:tc>
          <w:tcPr>
            <w:tcW w:w="1801" w:type="dxa"/>
            <w:tcBorders>
              <w:top w:val="single" w:sz="4" w:space="0" w:color="000000"/>
              <w:bottom w:val="single" w:sz="4" w:space="0" w:color="000000"/>
            </w:tcBorders>
            <w:vAlign w:val="center"/>
          </w:tcPr>
          <w:p w14:paraId="105C2267" w14:textId="77777777" w:rsidR="00682951" w:rsidRDefault="00CC4351">
            <w:pPr>
              <w:pBdr>
                <w:top w:val="nil"/>
                <w:left w:val="nil"/>
                <w:bottom w:val="nil"/>
                <w:right w:val="nil"/>
                <w:between w:val="nil"/>
              </w:pBdr>
              <w:ind w:left="318"/>
              <w:jc w:val="center"/>
              <w:rPr>
                <w:color w:val="000000"/>
              </w:rPr>
            </w:pPr>
            <w:r>
              <w:rPr>
                <w:color w:val="000000"/>
              </w:rPr>
              <w:t>Abbreviation</w:t>
            </w:r>
          </w:p>
        </w:tc>
        <w:tc>
          <w:tcPr>
            <w:tcW w:w="3463" w:type="dxa"/>
            <w:tcBorders>
              <w:top w:val="single" w:sz="4" w:space="0" w:color="000000"/>
              <w:bottom w:val="single" w:sz="4" w:space="0" w:color="000000"/>
            </w:tcBorders>
            <w:vAlign w:val="center"/>
          </w:tcPr>
          <w:p w14:paraId="39A093F9" w14:textId="77777777" w:rsidR="00682951" w:rsidRDefault="00CC4351">
            <w:pPr>
              <w:pBdr>
                <w:top w:val="nil"/>
                <w:left w:val="nil"/>
                <w:bottom w:val="nil"/>
                <w:right w:val="nil"/>
                <w:between w:val="nil"/>
              </w:pBdr>
              <w:jc w:val="center"/>
              <w:rPr>
                <w:color w:val="000000"/>
              </w:rPr>
            </w:pPr>
            <w:r>
              <w:rPr>
                <w:color w:val="000000"/>
              </w:rPr>
              <w:t>Criterion</w:t>
            </w:r>
          </w:p>
        </w:tc>
      </w:tr>
      <w:tr w:rsidR="00682951" w14:paraId="36564045" w14:textId="77777777">
        <w:trPr>
          <w:trHeight w:val="260"/>
        </w:trPr>
        <w:tc>
          <w:tcPr>
            <w:tcW w:w="2958" w:type="dxa"/>
            <w:tcBorders>
              <w:top w:val="single" w:sz="4" w:space="0" w:color="000000"/>
            </w:tcBorders>
          </w:tcPr>
          <w:p w14:paraId="659E13FF" w14:textId="77777777" w:rsidR="00682951" w:rsidRDefault="00CC4351">
            <w:pPr>
              <w:pBdr>
                <w:top w:val="nil"/>
                <w:left w:val="nil"/>
                <w:bottom w:val="nil"/>
                <w:right w:val="nil"/>
                <w:between w:val="nil"/>
              </w:pBdr>
              <w:rPr>
                <w:b/>
                <w:color w:val="000000"/>
              </w:rPr>
            </w:pPr>
            <w:r>
              <w:rPr>
                <w:b/>
                <w:color w:val="000000"/>
              </w:rPr>
              <w:t>Absolute fit</w:t>
            </w:r>
          </w:p>
        </w:tc>
        <w:tc>
          <w:tcPr>
            <w:tcW w:w="1801" w:type="dxa"/>
            <w:tcBorders>
              <w:top w:val="single" w:sz="4" w:space="0" w:color="000000"/>
            </w:tcBorders>
          </w:tcPr>
          <w:p w14:paraId="7C721286" w14:textId="77777777" w:rsidR="00682951" w:rsidRDefault="00682951">
            <w:pPr>
              <w:pBdr>
                <w:top w:val="nil"/>
                <w:left w:val="nil"/>
                <w:bottom w:val="nil"/>
                <w:right w:val="nil"/>
                <w:between w:val="nil"/>
              </w:pBdr>
              <w:rPr>
                <w:color w:val="000000"/>
              </w:rPr>
            </w:pPr>
          </w:p>
        </w:tc>
        <w:tc>
          <w:tcPr>
            <w:tcW w:w="3463" w:type="dxa"/>
            <w:tcBorders>
              <w:top w:val="single" w:sz="4" w:space="0" w:color="000000"/>
            </w:tcBorders>
          </w:tcPr>
          <w:p w14:paraId="3F3D864E" w14:textId="77777777" w:rsidR="00682951" w:rsidRDefault="00682951">
            <w:pPr>
              <w:pBdr>
                <w:top w:val="nil"/>
                <w:left w:val="nil"/>
                <w:bottom w:val="nil"/>
                <w:right w:val="nil"/>
                <w:between w:val="nil"/>
              </w:pBdr>
              <w:rPr>
                <w:color w:val="000000"/>
              </w:rPr>
            </w:pPr>
          </w:p>
        </w:tc>
      </w:tr>
      <w:tr w:rsidR="00682951" w14:paraId="4D4D224A" w14:textId="77777777">
        <w:trPr>
          <w:trHeight w:val="260"/>
        </w:trPr>
        <w:tc>
          <w:tcPr>
            <w:tcW w:w="2958" w:type="dxa"/>
          </w:tcPr>
          <w:p w14:paraId="25EC5A0E" w14:textId="77777777" w:rsidR="00682951" w:rsidRDefault="00CC4351">
            <w:pPr>
              <w:pBdr>
                <w:top w:val="nil"/>
                <w:left w:val="nil"/>
                <w:bottom w:val="nil"/>
                <w:right w:val="nil"/>
                <w:between w:val="nil"/>
              </w:pBdr>
              <w:rPr>
                <w:color w:val="000000"/>
              </w:rPr>
            </w:pPr>
            <w:r>
              <w:rPr>
                <w:color w:val="000000"/>
              </w:rPr>
              <w:t xml:space="preserve"> Chi-squared</w:t>
            </w:r>
          </w:p>
        </w:tc>
        <w:tc>
          <w:tcPr>
            <w:tcW w:w="1801" w:type="dxa"/>
          </w:tcPr>
          <w:p w14:paraId="77478D65" w14:textId="77777777" w:rsidR="00682951" w:rsidRDefault="00CC4351">
            <w:pPr>
              <w:pBdr>
                <w:top w:val="nil"/>
                <w:left w:val="nil"/>
                <w:bottom w:val="nil"/>
                <w:right w:val="nil"/>
                <w:between w:val="nil"/>
              </w:pBdr>
              <w:jc w:val="center"/>
              <w:rPr>
                <w:i/>
                <w:color w:val="000000"/>
              </w:rPr>
            </w:pPr>
            <w:r>
              <w:rPr>
                <w:i/>
                <w:color w:val="000000"/>
              </w:rPr>
              <w:t>X</w:t>
            </w:r>
            <w:r>
              <w:rPr>
                <w:i/>
                <w:color w:val="000000"/>
                <w:vertAlign w:val="superscript"/>
              </w:rPr>
              <w:t>2</w:t>
            </w:r>
          </w:p>
        </w:tc>
        <w:tc>
          <w:tcPr>
            <w:tcW w:w="3463" w:type="dxa"/>
          </w:tcPr>
          <w:p w14:paraId="0F085262" w14:textId="77777777" w:rsidR="00682951" w:rsidRDefault="00CC4351">
            <w:pPr>
              <w:pBdr>
                <w:top w:val="nil"/>
                <w:left w:val="nil"/>
                <w:bottom w:val="nil"/>
                <w:right w:val="nil"/>
                <w:between w:val="nil"/>
              </w:pBdr>
              <w:jc w:val="center"/>
              <w:rPr>
                <w:color w:val="000000"/>
              </w:rPr>
            </w:pPr>
            <w:r>
              <w:rPr>
                <w:color w:val="000000"/>
              </w:rPr>
              <w:t>Significance level &gt; .05</w:t>
            </w:r>
          </w:p>
        </w:tc>
      </w:tr>
      <w:tr w:rsidR="00682951" w14:paraId="1B8002E5" w14:textId="77777777">
        <w:trPr>
          <w:trHeight w:val="260"/>
        </w:trPr>
        <w:tc>
          <w:tcPr>
            <w:tcW w:w="2958" w:type="dxa"/>
          </w:tcPr>
          <w:p w14:paraId="23293C90" w14:textId="77777777" w:rsidR="00682951" w:rsidRDefault="00CC4351">
            <w:pPr>
              <w:pBdr>
                <w:top w:val="nil"/>
                <w:left w:val="nil"/>
                <w:bottom w:val="nil"/>
                <w:right w:val="nil"/>
                <w:between w:val="nil"/>
              </w:pBdr>
              <w:ind w:right="-391"/>
              <w:rPr>
                <w:color w:val="000000"/>
              </w:rPr>
            </w:pPr>
            <w:r>
              <w:rPr>
                <w:color w:val="000000"/>
              </w:rPr>
              <w:t xml:space="preserve"> Ratio chi-squared/degrees of freedom </w:t>
            </w:r>
          </w:p>
        </w:tc>
        <w:tc>
          <w:tcPr>
            <w:tcW w:w="1801" w:type="dxa"/>
          </w:tcPr>
          <w:p w14:paraId="00052553" w14:textId="77777777" w:rsidR="00682951" w:rsidRDefault="00CC4351">
            <w:pPr>
              <w:pBdr>
                <w:top w:val="nil"/>
                <w:left w:val="nil"/>
                <w:bottom w:val="nil"/>
                <w:right w:val="nil"/>
                <w:between w:val="nil"/>
              </w:pBdr>
              <w:jc w:val="center"/>
              <w:rPr>
                <w:color w:val="000000"/>
              </w:rPr>
            </w:pPr>
            <w:r>
              <w:rPr>
                <w:i/>
                <w:color w:val="000000"/>
              </w:rPr>
              <w:t>X</w:t>
            </w:r>
            <w:r>
              <w:rPr>
                <w:i/>
                <w:color w:val="000000"/>
                <w:vertAlign w:val="superscript"/>
              </w:rPr>
              <w:t>2</w:t>
            </w:r>
            <w:r>
              <w:rPr>
                <w:i/>
                <w:color w:val="000000"/>
              </w:rPr>
              <w:t>/</w:t>
            </w:r>
            <w:r>
              <w:rPr>
                <w:color w:val="000000"/>
              </w:rPr>
              <w:t>df</w:t>
            </w:r>
          </w:p>
        </w:tc>
        <w:tc>
          <w:tcPr>
            <w:tcW w:w="3463" w:type="dxa"/>
          </w:tcPr>
          <w:p w14:paraId="60759FCA" w14:textId="77777777" w:rsidR="00682951" w:rsidRDefault="00CC4351">
            <w:pPr>
              <w:pBdr>
                <w:top w:val="nil"/>
                <w:left w:val="nil"/>
                <w:bottom w:val="nil"/>
                <w:right w:val="nil"/>
                <w:between w:val="nil"/>
              </w:pBdr>
              <w:jc w:val="center"/>
              <w:rPr>
                <w:color w:val="000000"/>
              </w:rPr>
            </w:pPr>
            <w:r>
              <w:rPr>
                <w:color w:val="000000"/>
              </w:rPr>
              <w:t>Less than 3</w:t>
            </w:r>
          </w:p>
        </w:tc>
      </w:tr>
      <w:tr w:rsidR="00682951" w14:paraId="6F75B0A0" w14:textId="77777777">
        <w:trPr>
          <w:trHeight w:val="260"/>
        </w:trPr>
        <w:tc>
          <w:tcPr>
            <w:tcW w:w="2958" w:type="dxa"/>
          </w:tcPr>
          <w:p w14:paraId="18FBCBDB" w14:textId="77777777" w:rsidR="00682951" w:rsidRDefault="00CC4351">
            <w:pPr>
              <w:pBdr>
                <w:top w:val="nil"/>
                <w:left w:val="nil"/>
                <w:bottom w:val="nil"/>
                <w:right w:val="nil"/>
                <w:between w:val="nil"/>
              </w:pBdr>
              <w:rPr>
                <w:b/>
                <w:color w:val="000000"/>
              </w:rPr>
            </w:pPr>
            <w:r>
              <w:rPr>
                <w:b/>
                <w:color w:val="000000"/>
              </w:rPr>
              <w:t>Comparative fit</w:t>
            </w:r>
          </w:p>
        </w:tc>
        <w:tc>
          <w:tcPr>
            <w:tcW w:w="1801" w:type="dxa"/>
          </w:tcPr>
          <w:p w14:paraId="0EC86109" w14:textId="77777777" w:rsidR="00682951" w:rsidRDefault="00682951">
            <w:pPr>
              <w:pBdr>
                <w:top w:val="nil"/>
                <w:left w:val="nil"/>
                <w:bottom w:val="nil"/>
                <w:right w:val="nil"/>
                <w:between w:val="nil"/>
              </w:pBdr>
              <w:jc w:val="center"/>
              <w:rPr>
                <w:color w:val="000000"/>
              </w:rPr>
            </w:pPr>
          </w:p>
        </w:tc>
        <w:tc>
          <w:tcPr>
            <w:tcW w:w="3463" w:type="dxa"/>
          </w:tcPr>
          <w:p w14:paraId="383F4CE5" w14:textId="77777777" w:rsidR="00682951" w:rsidRDefault="00682951">
            <w:pPr>
              <w:pBdr>
                <w:top w:val="nil"/>
                <w:left w:val="nil"/>
                <w:bottom w:val="nil"/>
                <w:right w:val="nil"/>
                <w:between w:val="nil"/>
              </w:pBdr>
              <w:jc w:val="center"/>
              <w:rPr>
                <w:color w:val="000000"/>
              </w:rPr>
            </w:pPr>
          </w:p>
        </w:tc>
      </w:tr>
      <w:tr w:rsidR="00682951" w14:paraId="57FAE2CA" w14:textId="77777777">
        <w:trPr>
          <w:trHeight w:val="260"/>
        </w:trPr>
        <w:tc>
          <w:tcPr>
            <w:tcW w:w="2958" w:type="dxa"/>
          </w:tcPr>
          <w:p w14:paraId="1105D640" w14:textId="77777777" w:rsidR="00682951" w:rsidRDefault="00CC4351">
            <w:pPr>
              <w:pBdr>
                <w:top w:val="nil"/>
                <w:left w:val="nil"/>
                <w:bottom w:val="nil"/>
                <w:right w:val="nil"/>
                <w:between w:val="nil"/>
              </w:pBdr>
              <w:rPr>
                <w:color w:val="000000"/>
              </w:rPr>
            </w:pPr>
            <w:r>
              <w:rPr>
                <w:color w:val="000000"/>
              </w:rPr>
              <w:t xml:space="preserve"> Comparative fit index</w:t>
            </w:r>
          </w:p>
        </w:tc>
        <w:tc>
          <w:tcPr>
            <w:tcW w:w="1801" w:type="dxa"/>
          </w:tcPr>
          <w:p w14:paraId="27F90CEC" w14:textId="77777777" w:rsidR="00682951" w:rsidRDefault="00CC4351">
            <w:pPr>
              <w:pBdr>
                <w:top w:val="nil"/>
                <w:left w:val="nil"/>
                <w:bottom w:val="nil"/>
                <w:right w:val="nil"/>
                <w:between w:val="nil"/>
              </w:pBdr>
              <w:jc w:val="center"/>
              <w:rPr>
                <w:color w:val="000000"/>
              </w:rPr>
            </w:pPr>
            <w:r>
              <w:rPr>
                <w:color w:val="000000"/>
              </w:rPr>
              <w:t>CFI</w:t>
            </w:r>
          </w:p>
        </w:tc>
        <w:tc>
          <w:tcPr>
            <w:tcW w:w="3463" w:type="dxa"/>
          </w:tcPr>
          <w:p w14:paraId="18719201" w14:textId="77777777" w:rsidR="00682951" w:rsidRDefault="00CC4351">
            <w:pPr>
              <w:pBdr>
                <w:top w:val="nil"/>
                <w:left w:val="nil"/>
                <w:bottom w:val="nil"/>
                <w:right w:val="nil"/>
                <w:between w:val="nil"/>
              </w:pBdr>
              <w:jc w:val="center"/>
              <w:rPr>
                <w:color w:val="000000"/>
              </w:rPr>
            </w:pPr>
            <w:r>
              <w:rPr>
                <w:rFonts w:ascii="Gungsuh" w:eastAsia="Gungsuh" w:hAnsi="Gungsuh" w:cs="Gungsuh"/>
                <w:color w:val="000000"/>
              </w:rPr>
              <w:t>≥ .95</w:t>
            </w:r>
          </w:p>
        </w:tc>
      </w:tr>
      <w:tr w:rsidR="00682951" w14:paraId="17680B10" w14:textId="77777777">
        <w:trPr>
          <w:trHeight w:val="260"/>
        </w:trPr>
        <w:tc>
          <w:tcPr>
            <w:tcW w:w="2958" w:type="dxa"/>
          </w:tcPr>
          <w:p w14:paraId="4EDB4296" w14:textId="77777777" w:rsidR="00682951" w:rsidRDefault="00CC4351">
            <w:pPr>
              <w:pBdr>
                <w:top w:val="nil"/>
                <w:left w:val="nil"/>
                <w:bottom w:val="nil"/>
                <w:right w:val="nil"/>
                <w:between w:val="nil"/>
              </w:pBdr>
              <w:rPr>
                <w:color w:val="000000"/>
              </w:rPr>
            </w:pPr>
            <w:r>
              <w:rPr>
                <w:color w:val="000000"/>
              </w:rPr>
              <w:t xml:space="preserve"> Tucker-Lewis index</w:t>
            </w:r>
          </w:p>
        </w:tc>
        <w:tc>
          <w:tcPr>
            <w:tcW w:w="1801" w:type="dxa"/>
          </w:tcPr>
          <w:p w14:paraId="4C966136" w14:textId="77777777" w:rsidR="00682951" w:rsidRDefault="00CC4351">
            <w:pPr>
              <w:pBdr>
                <w:top w:val="nil"/>
                <w:left w:val="nil"/>
                <w:bottom w:val="nil"/>
                <w:right w:val="nil"/>
                <w:between w:val="nil"/>
              </w:pBdr>
              <w:jc w:val="center"/>
              <w:rPr>
                <w:color w:val="000000"/>
              </w:rPr>
            </w:pPr>
            <w:r>
              <w:rPr>
                <w:color w:val="000000"/>
              </w:rPr>
              <w:t>TLI</w:t>
            </w:r>
          </w:p>
        </w:tc>
        <w:tc>
          <w:tcPr>
            <w:tcW w:w="3463" w:type="dxa"/>
          </w:tcPr>
          <w:p w14:paraId="401C43F6" w14:textId="77777777" w:rsidR="00682951" w:rsidRDefault="00CC4351">
            <w:pPr>
              <w:pBdr>
                <w:top w:val="nil"/>
                <w:left w:val="nil"/>
                <w:bottom w:val="nil"/>
                <w:right w:val="nil"/>
                <w:between w:val="nil"/>
              </w:pBdr>
              <w:jc w:val="center"/>
              <w:rPr>
                <w:color w:val="000000"/>
              </w:rPr>
            </w:pPr>
            <w:r>
              <w:rPr>
                <w:rFonts w:ascii="Gungsuh" w:eastAsia="Gungsuh" w:hAnsi="Gungsuh" w:cs="Gungsuh"/>
                <w:color w:val="000000"/>
              </w:rPr>
              <w:t>≥ .95</w:t>
            </w:r>
          </w:p>
        </w:tc>
      </w:tr>
      <w:tr w:rsidR="00682951" w14:paraId="5CBBE578" w14:textId="77777777">
        <w:trPr>
          <w:trHeight w:val="260"/>
        </w:trPr>
        <w:tc>
          <w:tcPr>
            <w:tcW w:w="2958" w:type="dxa"/>
          </w:tcPr>
          <w:p w14:paraId="0D7D1E5C" w14:textId="77777777" w:rsidR="00682951" w:rsidRDefault="00CC4351">
            <w:pPr>
              <w:pBdr>
                <w:top w:val="nil"/>
                <w:left w:val="nil"/>
                <w:bottom w:val="nil"/>
                <w:right w:val="nil"/>
                <w:between w:val="nil"/>
              </w:pBdr>
              <w:rPr>
                <w:color w:val="000000"/>
              </w:rPr>
            </w:pPr>
            <w:r>
              <w:rPr>
                <w:color w:val="000000"/>
              </w:rPr>
              <w:t xml:space="preserve"> Normed fit index</w:t>
            </w:r>
          </w:p>
        </w:tc>
        <w:tc>
          <w:tcPr>
            <w:tcW w:w="1801" w:type="dxa"/>
          </w:tcPr>
          <w:p w14:paraId="14027615" w14:textId="77777777" w:rsidR="00682951" w:rsidRDefault="00CC4351">
            <w:pPr>
              <w:pBdr>
                <w:top w:val="nil"/>
                <w:left w:val="nil"/>
                <w:bottom w:val="nil"/>
                <w:right w:val="nil"/>
                <w:between w:val="nil"/>
              </w:pBdr>
              <w:jc w:val="center"/>
              <w:rPr>
                <w:color w:val="000000"/>
              </w:rPr>
            </w:pPr>
            <w:r>
              <w:rPr>
                <w:color w:val="000000"/>
              </w:rPr>
              <w:t>NFI</w:t>
            </w:r>
          </w:p>
        </w:tc>
        <w:tc>
          <w:tcPr>
            <w:tcW w:w="3463" w:type="dxa"/>
          </w:tcPr>
          <w:p w14:paraId="3D78C21F" w14:textId="77777777" w:rsidR="00682951" w:rsidRDefault="00CC4351">
            <w:pPr>
              <w:pBdr>
                <w:top w:val="nil"/>
                <w:left w:val="nil"/>
                <w:bottom w:val="nil"/>
                <w:right w:val="nil"/>
                <w:between w:val="nil"/>
              </w:pBdr>
              <w:jc w:val="center"/>
              <w:rPr>
                <w:color w:val="000000"/>
              </w:rPr>
            </w:pPr>
            <w:r>
              <w:rPr>
                <w:rFonts w:ascii="Gungsuh" w:eastAsia="Gungsuh" w:hAnsi="Gungsuh" w:cs="Gungsuh"/>
                <w:color w:val="000000"/>
              </w:rPr>
              <w:t>≥ .95</w:t>
            </w:r>
          </w:p>
        </w:tc>
      </w:tr>
      <w:tr w:rsidR="00682951" w14:paraId="4EA7B866" w14:textId="77777777">
        <w:trPr>
          <w:trHeight w:val="260"/>
        </w:trPr>
        <w:tc>
          <w:tcPr>
            <w:tcW w:w="2958" w:type="dxa"/>
          </w:tcPr>
          <w:p w14:paraId="2F5F0E00" w14:textId="77777777" w:rsidR="00682951" w:rsidRDefault="00CC4351">
            <w:pPr>
              <w:pBdr>
                <w:top w:val="nil"/>
                <w:left w:val="nil"/>
                <w:bottom w:val="nil"/>
                <w:right w:val="nil"/>
                <w:between w:val="nil"/>
              </w:pBdr>
              <w:rPr>
                <w:b/>
                <w:color w:val="000000"/>
              </w:rPr>
            </w:pPr>
            <w:r>
              <w:rPr>
                <w:b/>
                <w:color w:val="000000"/>
              </w:rPr>
              <w:t>Parsimonious fit</w:t>
            </w:r>
          </w:p>
        </w:tc>
        <w:tc>
          <w:tcPr>
            <w:tcW w:w="1801" w:type="dxa"/>
          </w:tcPr>
          <w:p w14:paraId="6CA8F4EF" w14:textId="77777777" w:rsidR="00682951" w:rsidRDefault="00682951">
            <w:pPr>
              <w:pBdr>
                <w:top w:val="nil"/>
                <w:left w:val="nil"/>
                <w:bottom w:val="nil"/>
                <w:right w:val="nil"/>
                <w:between w:val="nil"/>
              </w:pBdr>
              <w:jc w:val="center"/>
              <w:rPr>
                <w:color w:val="000000"/>
              </w:rPr>
            </w:pPr>
          </w:p>
        </w:tc>
        <w:tc>
          <w:tcPr>
            <w:tcW w:w="3463" w:type="dxa"/>
          </w:tcPr>
          <w:p w14:paraId="28C953FC" w14:textId="77777777" w:rsidR="00682951" w:rsidRDefault="00682951">
            <w:pPr>
              <w:pBdr>
                <w:top w:val="nil"/>
                <w:left w:val="nil"/>
                <w:bottom w:val="nil"/>
                <w:right w:val="nil"/>
                <w:between w:val="nil"/>
              </w:pBdr>
              <w:jc w:val="center"/>
              <w:rPr>
                <w:color w:val="000000"/>
              </w:rPr>
            </w:pPr>
          </w:p>
        </w:tc>
      </w:tr>
      <w:tr w:rsidR="00682951" w14:paraId="38A8DD7C" w14:textId="77777777">
        <w:trPr>
          <w:trHeight w:val="260"/>
        </w:trPr>
        <w:tc>
          <w:tcPr>
            <w:tcW w:w="2958" w:type="dxa"/>
          </w:tcPr>
          <w:p w14:paraId="1359F055" w14:textId="77777777" w:rsidR="00682951" w:rsidRDefault="00CC4351">
            <w:pPr>
              <w:pBdr>
                <w:top w:val="nil"/>
                <w:left w:val="nil"/>
                <w:bottom w:val="nil"/>
                <w:right w:val="nil"/>
                <w:between w:val="nil"/>
              </w:pBdr>
              <w:rPr>
                <w:color w:val="000000"/>
              </w:rPr>
            </w:pPr>
            <w:r>
              <w:rPr>
                <w:color w:val="000000"/>
              </w:rPr>
              <w:t xml:space="preserve"> Parsimonious normed fit index</w:t>
            </w:r>
          </w:p>
        </w:tc>
        <w:tc>
          <w:tcPr>
            <w:tcW w:w="1801" w:type="dxa"/>
          </w:tcPr>
          <w:p w14:paraId="7C65A718" w14:textId="77777777" w:rsidR="00682951" w:rsidRDefault="00CC4351">
            <w:pPr>
              <w:pBdr>
                <w:top w:val="nil"/>
                <w:left w:val="nil"/>
                <w:bottom w:val="nil"/>
                <w:right w:val="nil"/>
                <w:between w:val="nil"/>
              </w:pBdr>
              <w:jc w:val="center"/>
              <w:rPr>
                <w:color w:val="000000"/>
              </w:rPr>
            </w:pPr>
            <w:r>
              <w:rPr>
                <w:color w:val="000000"/>
              </w:rPr>
              <w:t>PNFI</w:t>
            </w:r>
          </w:p>
        </w:tc>
        <w:tc>
          <w:tcPr>
            <w:tcW w:w="3463" w:type="dxa"/>
          </w:tcPr>
          <w:p w14:paraId="62C84917" w14:textId="77777777" w:rsidR="00682951" w:rsidRDefault="00CC4351">
            <w:pPr>
              <w:pBdr>
                <w:top w:val="nil"/>
                <w:left w:val="nil"/>
                <w:bottom w:val="nil"/>
                <w:right w:val="nil"/>
                <w:between w:val="nil"/>
              </w:pBdr>
              <w:jc w:val="center"/>
              <w:rPr>
                <w:color w:val="000000"/>
              </w:rPr>
            </w:pPr>
            <w:r>
              <w:rPr>
                <w:color w:val="000000"/>
              </w:rPr>
              <w:t>Close to 1</w:t>
            </w:r>
          </w:p>
        </w:tc>
      </w:tr>
      <w:tr w:rsidR="00682951" w14:paraId="7C9C2F08" w14:textId="77777777">
        <w:trPr>
          <w:trHeight w:val="260"/>
        </w:trPr>
        <w:tc>
          <w:tcPr>
            <w:tcW w:w="2958" w:type="dxa"/>
          </w:tcPr>
          <w:p w14:paraId="4145A7A0" w14:textId="77777777" w:rsidR="00682951" w:rsidRDefault="00CC4351">
            <w:pPr>
              <w:pBdr>
                <w:top w:val="nil"/>
                <w:left w:val="nil"/>
                <w:bottom w:val="nil"/>
                <w:right w:val="nil"/>
                <w:between w:val="nil"/>
              </w:pBdr>
              <w:rPr>
                <w:b/>
                <w:color w:val="000000"/>
              </w:rPr>
            </w:pPr>
            <w:r>
              <w:rPr>
                <w:b/>
                <w:color w:val="000000"/>
              </w:rPr>
              <w:t>Other</w:t>
            </w:r>
          </w:p>
        </w:tc>
        <w:tc>
          <w:tcPr>
            <w:tcW w:w="1801" w:type="dxa"/>
          </w:tcPr>
          <w:p w14:paraId="283C8D34" w14:textId="77777777" w:rsidR="00682951" w:rsidRDefault="00682951">
            <w:pPr>
              <w:pBdr>
                <w:top w:val="nil"/>
                <w:left w:val="nil"/>
                <w:bottom w:val="nil"/>
                <w:right w:val="nil"/>
                <w:between w:val="nil"/>
              </w:pBdr>
              <w:jc w:val="center"/>
              <w:rPr>
                <w:color w:val="000000"/>
              </w:rPr>
            </w:pPr>
          </w:p>
        </w:tc>
        <w:tc>
          <w:tcPr>
            <w:tcW w:w="3463" w:type="dxa"/>
          </w:tcPr>
          <w:p w14:paraId="3601C2D5" w14:textId="77777777" w:rsidR="00682951" w:rsidRDefault="00682951">
            <w:pPr>
              <w:pBdr>
                <w:top w:val="nil"/>
                <w:left w:val="nil"/>
                <w:bottom w:val="nil"/>
                <w:right w:val="nil"/>
                <w:between w:val="nil"/>
              </w:pBdr>
              <w:jc w:val="center"/>
              <w:rPr>
                <w:color w:val="000000"/>
              </w:rPr>
            </w:pPr>
          </w:p>
        </w:tc>
      </w:tr>
      <w:tr w:rsidR="00682951" w14:paraId="412A8F7F" w14:textId="77777777">
        <w:trPr>
          <w:trHeight w:val="260"/>
        </w:trPr>
        <w:tc>
          <w:tcPr>
            <w:tcW w:w="2958" w:type="dxa"/>
          </w:tcPr>
          <w:p w14:paraId="0EC534F4" w14:textId="77777777" w:rsidR="00682951" w:rsidRDefault="00CC4351">
            <w:pPr>
              <w:pBdr>
                <w:top w:val="nil"/>
                <w:left w:val="nil"/>
                <w:bottom w:val="nil"/>
                <w:right w:val="nil"/>
                <w:between w:val="nil"/>
              </w:pBdr>
              <w:rPr>
                <w:color w:val="000000"/>
              </w:rPr>
            </w:pPr>
            <w:r>
              <w:rPr>
                <w:color w:val="000000"/>
              </w:rPr>
              <w:t xml:space="preserve"> Goodness of fit index </w:t>
            </w:r>
          </w:p>
        </w:tc>
        <w:tc>
          <w:tcPr>
            <w:tcW w:w="1801" w:type="dxa"/>
          </w:tcPr>
          <w:p w14:paraId="3E8D2F9C" w14:textId="77777777" w:rsidR="00682951" w:rsidRDefault="00CC4351">
            <w:pPr>
              <w:pBdr>
                <w:top w:val="nil"/>
                <w:left w:val="nil"/>
                <w:bottom w:val="nil"/>
                <w:right w:val="nil"/>
                <w:between w:val="nil"/>
              </w:pBdr>
              <w:jc w:val="center"/>
              <w:rPr>
                <w:color w:val="000000"/>
              </w:rPr>
            </w:pPr>
            <w:r>
              <w:rPr>
                <w:color w:val="000000"/>
              </w:rPr>
              <w:t>GFI</w:t>
            </w:r>
          </w:p>
        </w:tc>
        <w:tc>
          <w:tcPr>
            <w:tcW w:w="3463" w:type="dxa"/>
          </w:tcPr>
          <w:p w14:paraId="49684BA3" w14:textId="77777777" w:rsidR="00682951" w:rsidRDefault="00CC4351">
            <w:pPr>
              <w:pBdr>
                <w:top w:val="nil"/>
                <w:left w:val="nil"/>
                <w:bottom w:val="nil"/>
                <w:right w:val="nil"/>
                <w:between w:val="nil"/>
              </w:pBdr>
              <w:jc w:val="center"/>
              <w:rPr>
                <w:color w:val="000000"/>
              </w:rPr>
            </w:pPr>
            <w:r>
              <w:rPr>
                <w:rFonts w:ascii="Gungsuh" w:eastAsia="Gungsuh" w:hAnsi="Gungsuh" w:cs="Gungsuh"/>
                <w:color w:val="000000"/>
              </w:rPr>
              <w:t>≥ .90</w:t>
            </w:r>
          </w:p>
        </w:tc>
      </w:tr>
      <w:tr w:rsidR="00682951" w14:paraId="4BE562C5" w14:textId="77777777">
        <w:trPr>
          <w:trHeight w:val="260"/>
        </w:trPr>
        <w:tc>
          <w:tcPr>
            <w:tcW w:w="2958" w:type="dxa"/>
          </w:tcPr>
          <w:p w14:paraId="18CFC877" w14:textId="77777777" w:rsidR="00682951" w:rsidRDefault="00CC4351">
            <w:pPr>
              <w:pBdr>
                <w:top w:val="nil"/>
                <w:left w:val="nil"/>
                <w:bottom w:val="nil"/>
                <w:right w:val="nil"/>
                <w:between w:val="nil"/>
              </w:pBdr>
              <w:rPr>
                <w:color w:val="000000"/>
              </w:rPr>
            </w:pPr>
            <w:r>
              <w:rPr>
                <w:color w:val="000000"/>
              </w:rPr>
              <w:t xml:space="preserve"> Adjusted goodness of fit index</w:t>
            </w:r>
          </w:p>
        </w:tc>
        <w:tc>
          <w:tcPr>
            <w:tcW w:w="1801" w:type="dxa"/>
          </w:tcPr>
          <w:p w14:paraId="764A4216" w14:textId="77777777" w:rsidR="00682951" w:rsidRDefault="00CC4351">
            <w:pPr>
              <w:pBdr>
                <w:top w:val="nil"/>
                <w:left w:val="nil"/>
                <w:bottom w:val="nil"/>
                <w:right w:val="nil"/>
                <w:between w:val="nil"/>
              </w:pBdr>
              <w:jc w:val="center"/>
              <w:rPr>
                <w:color w:val="000000"/>
              </w:rPr>
            </w:pPr>
            <w:r>
              <w:rPr>
                <w:color w:val="000000"/>
              </w:rPr>
              <w:t>AGFI</w:t>
            </w:r>
          </w:p>
        </w:tc>
        <w:tc>
          <w:tcPr>
            <w:tcW w:w="3463" w:type="dxa"/>
          </w:tcPr>
          <w:p w14:paraId="19D6436D" w14:textId="77777777" w:rsidR="00682951" w:rsidRDefault="00CC4351">
            <w:pPr>
              <w:pBdr>
                <w:top w:val="nil"/>
                <w:left w:val="nil"/>
                <w:bottom w:val="nil"/>
                <w:right w:val="nil"/>
                <w:between w:val="nil"/>
              </w:pBdr>
              <w:jc w:val="center"/>
              <w:rPr>
                <w:color w:val="000000"/>
              </w:rPr>
            </w:pPr>
            <w:r>
              <w:rPr>
                <w:rFonts w:ascii="Gungsuh" w:eastAsia="Gungsuh" w:hAnsi="Gungsuh" w:cs="Gungsuh"/>
                <w:color w:val="000000"/>
              </w:rPr>
              <w:t>≥ .95</w:t>
            </w:r>
          </w:p>
        </w:tc>
      </w:tr>
      <w:tr w:rsidR="00682951" w14:paraId="22BDAC7F" w14:textId="77777777">
        <w:trPr>
          <w:trHeight w:val="260"/>
        </w:trPr>
        <w:tc>
          <w:tcPr>
            <w:tcW w:w="2958" w:type="dxa"/>
          </w:tcPr>
          <w:p w14:paraId="3A0B05EB" w14:textId="77777777" w:rsidR="00682951" w:rsidRDefault="00CC4351">
            <w:pPr>
              <w:pBdr>
                <w:top w:val="nil"/>
                <w:left w:val="nil"/>
                <w:bottom w:val="nil"/>
                <w:right w:val="nil"/>
                <w:between w:val="nil"/>
              </w:pBdr>
              <w:rPr>
                <w:color w:val="000000"/>
              </w:rPr>
            </w:pPr>
            <w:r>
              <w:rPr>
                <w:color w:val="000000"/>
              </w:rPr>
              <w:t xml:space="preserve"> Root mean squared residual </w:t>
            </w:r>
          </w:p>
        </w:tc>
        <w:tc>
          <w:tcPr>
            <w:tcW w:w="1801" w:type="dxa"/>
          </w:tcPr>
          <w:p w14:paraId="53EEE6DB" w14:textId="77777777" w:rsidR="00682951" w:rsidRDefault="00CC4351">
            <w:pPr>
              <w:pBdr>
                <w:top w:val="nil"/>
                <w:left w:val="nil"/>
                <w:bottom w:val="nil"/>
                <w:right w:val="nil"/>
                <w:between w:val="nil"/>
              </w:pBdr>
              <w:jc w:val="center"/>
              <w:rPr>
                <w:color w:val="000000"/>
              </w:rPr>
            </w:pPr>
            <w:r>
              <w:rPr>
                <w:color w:val="000000"/>
              </w:rPr>
              <w:t>RMR</w:t>
            </w:r>
          </w:p>
        </w:tc>
        <w:tc>
          <w:tcPr>
            <w:tcW w:w="3463" w:type="dxa"/>
          </w:tcPr>
          <w:p w14:paraId="0F1B3B46" w14:textId="77777777" w:rsidR="00682951" w:rsidRDefault="00CC4351">
            <w:pPr>
              <w:pBdr>
                <w:top w:val="nil"/>
                <w:left w:val="nil"/>
                <w:bottom w:val="nil"/>
                <w:right w:val="nil"/>
                <w:between w:val="nil"/>
              </w:pBdr>
              <w:jc w:val="center"/>
              <w:rPr>
                <w:color w:val="000000"/>
              </w:rPr>
            </w:pPr>
            <w:r>
              <w:rPr>
                <w:color w:val="000000"/>
              </w:rPr>
              <w:t>Close to zero</w:t>
            </w:r>
          </w:p>
        </w:tc>
      </w:tr>
      <w:tr w:rsidR="00682951" w14:paraId="53078918" w14:textId="77777777">
        <w:trPr>
          <w:trHeight w:val="440"/>
        </w:trPr>
        <w:tc>
          <w:tcPr>
            <w:tcW w:w="2958" w:type="dxa"/>
          </w:tcPr>
          <w:p w14:paraId="618F433A" w14:textId="77777777" w:rsidR="00682951" w:rsidRDefault="00CC4351">
            <w:pPr>
              <w:pBdr>
                <w:top w:val="nil"/>
                <w:left w:val="nil"/>
                <w:bottom w:val="nil"/>
                <w:right w:val="nil"/>
                <w:between w:val="nil"/>
              </w:pBdr>
              <w:rPr>
                <w:color w:val="000000"/>
              </w:rPr>
            </w:pPr>
            <w:r>
              <w:rPr>
                <w:color w:val="000000"/>
              </w:rPr>
              <w:t xml:space="preserve"> Root mean squared error of approximation</w:t>
            </w:r>
          </w:p>
        </w:tc>
        <w:tc>
          <w:tcPr>
            <w:tcW w:w="1801" w:type="dxa"/>
          </w:tcPr>
          <w:p w14:paraId="5012DFA9" w14:textId="77777777" w:rsidR="00682951" w:rsidRDefault="00CC4351">
            <w:pPr>
              <w:pBdr>
                <w:top w:val="nil"/>
                <w:left w:val="nil"/>
                <w:bottom w:val="nil"/>
                <w:right w:val="nil"/>
                <w:between w:val="nil"/>
              </w:pBdr>
              <w:jc w:val="center"/>
              <w:rPr>
                <w:color w:val="000000"/>
              </w:rPr>
            </w:pPr>
            <w:r>
              <w:rPr>
                <w:color w:val="000000"/>
              </w:rPr>
              <w:t>RMSEA</w:t>
            </w:r>
          </w:p>
        </w:tc>
        <w:tc>
          <w:tcPr>
            <w:tcW w:w="3463" w:type="dxa"/>
          </w:tcPr>
          <w:p w14:paraId="7F1B3D31" w14:textId="77777777" w:rsidR="00682951" w:rsidRDefault="00CC4351">
            <w:pPr>
              <w:pBdr>
                <w:top w:val="nil"/>
                <w:left w:val="nil"/>
                <w:bottom w:val="nil"/>
                <w:right w:val="nil"/>
                <w:between w:val="nil"/>
              </w:pBdr>
              <w:jc w:val="center"/>
              <w:rPr>
                <w:color w:val="000000"/>
              </w:rPr>
            </w:pPr>
            <w:r>
              <w:rPr>
                <w:color w:val="000000"/>
              </w:rPr>
              <w:t>&lt; .10</w:t>
            </w:r>
          </w:p>
        </w:tc>
      </w:tr>
    </w:tbl>
    <w:p w14:paraId="63234724" w14:textId="77777777" w:rsidR="00682951" w:rsidRDefault="00682951">
      <w:pPr>
        <w:spacing w:line="480" w:lineRule="auto"/>
        <w:jc w:val="center"/>
        <w:rPr>
          <w:b/>
        </w:rPr>
      </w:pPr>
    </w:p>
    <w:p w14:paraId="5B6D1FB8" w14:textId="77777777" w:rsidR="00682951" w:rsidRDefault="00CC4351">
      <w:pPr>
        <w:spacing w:line="480" w:lineRule="auto"/>
        <w:jc w:val="center"/>
        <w:rPr>
          <w:b/>
        </w:rPr>
      </w:pPr>
      <w:r>
        <w:rPr>
          <w:b/>
        </w:rPr>
        <w:lastRenderedPageBreak/>
        <w:t>Figure 3</w:t>
      </w:r>
    </w:p>
    <w:p w14:paraId="0466C86A" w14:textId="77777777" w:rsidR="00682951" w:rsidRDefault="00CC4351">
      <w:pPr>
        <w:spacing w:line="480" w:lineRule="auto"/>
        <w:jc w:val="center"/>
      </w:pPr>
      <w:r>
        <w:t xml:space="preserve"> Research model with the AMOS software results</w:t>
      </w:r>
    </w:p>
    <w:p w14:paraId="76233391" w14:textId="77777777" w:rsidR="00682951" w:rsidRDefault="00CC4351">
      <w:pPr>
        <w:spacing w:line="480" w:lineRule="auto"/>
        <w:jc w:val="center"/>
      </w:pPr>
      <w:r>
        <w:rPr>
          <w:noProof/>
        </w:rPr>
        <w:drawing>
          <wp:inline distT="0" distB="0" distL="0" distR="0" wp14:anchorId="692BFA54" wp14:editId="572F53E3">
            <wp:extent cx="5731510" cy="405447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731510" cy="4054475"/>
                    </a:xfrm>
                    <a:prstGeom prst="rect">
                      <a:avLst/>
                    </a:prstGeom>
                    <a:ln/>
                  </pic:spPr>
                </pic:pic>
              </a:graphicData>
            </a:graphic>
          </wp:inline>
        </w:drawing>
      </w:r>
    </w:p>
    <w:p w14:paraId="3F7E3032" w14:textId="77777777" w:rsidR="00682951" w:rsidRDefault="00682951">
      <w:pPr>
        <w:spacing w:line="480" w:lineRule="auto"/>
      </w:pPr>
    </w:p>
    <w:p w14:paraId="670BC501" w14:textId="77777777" w:rsidR="00682951" w:rsidRDefault="00CC4351">
      <w:pPr>
        <w:pBdr>
          <w:top w:val="nil"/>
          <w:left w:val="nil"/>
          <w:bottom w:val="nil"/>
          <w:right w:val="nil"/>
          <w:between w:val="nil"/>
        </w:pBdr>
        <w:tabs>
          <w:tab w:val="left" w:pos="988"/>
        </w:tabs>
        <w:spacing w:line="480" w:lineRule="auto"/>
        <w:jc w:val="center"/>
        <w:rPr>
          <w:b/>
          <w:color w:val="000000"/>
        </w:rPr>
      </w:pPr>
      <w:r>
        <w:rPr>
          <w:b/>
          <w:color w:val="000000"/>
        </w:rPr>
        <w:t xml:space="preserve">Table 6 </w:t>
      </w:r>
    </w:p>
    <w:p w14:paraId="4991A535" w14:textId="77777777" w:rsidR="00682951" w:rsidRDefault="00CC4351">
      <w:pPr>
        <w:pBdr>
          <w:top w:val="nil"/>
          <w:left w:val="nil"/>
          <w:bottom w:val="nil"/>
          <w:right w:val="nil"/>
          <w:between w:val="nil"/>
        </w:pBdr>
        <w:tabs>
          <w:tab w:val="left" w:pos="988"/>
        </w:tabs>
        <w:spacing w:line="480" w:lineRule="auto"/>
        <w:jc w:val="center"/>
        <w:rPr>
          <w:color w:val="000000"/>
        </w:rPr>
      </w:pPr>
      <w:r>
        <w:rPr>
          <w:color w:val="000000"/>
        </w:rPr>
        <w:t>Total (T), direct (D) and indirect (I) effects of the variables that were included in the model</w:t>
      </w:r>
    </w:p>
    <w:tbl>
      <w:tblPr>
        <w:tblStyle w:val="a4"/>
        <w:tblW w:w="9001" w:type="dxa"/>
        <w:tblInd w:w="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2250"/>
        <w:gridCol w:w="2249"/>
        <w:gridCol w:w="2250"/>
        <w:gridCol w:w="2252"/>
      </w:tblGrid>
      <w:tr w:rsidR="00682951" w14:paraId="47C43A09" w14:textId="77777777">
        <w:trPr>
          <w:trHeight w:val="240"/>
        </w:trPr>
        <w:tc>
          <w:tcPr>
            <w:tcW w:w="2250" w:type="dxa"/>
            <w:tcBorders>
              <w:top w:val="single" w:sz="4" w:space="0" w:color="000000"/>
              <w:bottom w:val="single" w:sz="4" w:space="0" w:color="000000"/>
            </w:tcBorders>
          </w:tcPr>
          <w:p w14:paraId="737BC708" w14:textId="77777777" w:rsidR="00682951" w:rsidRDefault="00682951">
            <w:pPr>
              <w:rPr>
                <w:i/>
              </w:rPr>
            </w:pPr>
          </w:p>
        </w:tc>
        <w:tc>
          <w:tcPr>
            <w:tcW w:w="2249" w:type="dxa"/>
            <w:tcBorders>
              <w:top w:val="single" w:sz="4" w:space="0" w:color="000000"/>
              <w:bottom w:val="single" w:sz="4" w:space="0" w:color="000000"/>
            </w:tcBorders>
          </w:tcPr>
          <w:p w14:paraId="6E8F6382" w14:textId="77777777" w:rsidR="00682951" w:rsidRDefault="00CC4351">
            <w:pPr>
              <w:jc w:val="center"/>
            </w:pPr>
            <w:r>
              <w:t>IC</w:t>
            </w:r>
          </w:p>
        </w:tc>
        <w:tc>
          <w:tcPr>
            <w:tcW w:w="2250" w:type="dxa"/>
            <w:tcBorders>
              <w:top w:val="single" w:sz="4" w:space="0" w:color="000000"/>
              <w:bottom w:val="single" w:sz="4" w:space="0" w:color="000000"/>
            </w:tcBorders>
          </w:tcPr>
          <w:p w14:paraId="0DE957C2" w14:textId="77777777" w:rsidR="00682951" w:rsidRDefault="00CC4351">
            <w:pPr>
              <w:jc w:val="center"/>
            </w:pPr>
            <w:r>
              <w:t>BM</w:t>
            </w:r>
          </w:p>
        </w:tc>
        <w:tc>
          <w:tcPr>
            <w:tcW w:w="2252" w:type="dxa"/>
            <w:tcBorders>
              <w:top w:val="single" w:sz="4" w:space="0" w:color="000000"/>
              <w:bottom w:val="single" w:sz="4" w:space="0" w:color="000000"/>
            </w:tcBorders>
          </w:tcPr>
          <w:p w14:paraId="4BD865BF" w14:textId="77777777" w:rsidR="00682951" w:rsidRDefault="00CC4351">
            <w:pPr>
              <w:jc w:val="center"/>
            </w:pPr>
            <w:r>
              <w:t>BRE</w:t>
            </w:r>
          </w:p>
        </w:tc>
      </w:tr>
      <w:tr w:rsidR="00682951" w14:paraId="76AEC9F5" w14:textId="77777777">
        <w:trPr>
          <w:trHeight w:val="240"/>
        </w:trPr>
        <w:tc>
          <w:tcPr>
            <w:tcW w:w="2250" w:type="dxa"/>
            <w:tcBorders>
              <w:top w:val="single" w:sz="4" w:space="0" w:color="000000"/>
            </w:tcBorders>
          </w:tcPr>
          <w:p w14:paraId="4DF34974" w14:textId="77777777" w:rsidR="00682951" w:rsidRDefault="00682951">
            <w:pPr>
              <w:rPr>
                <w:i/>
              </w:rPr>
            </w:pPr>
          </w:p>
        </w:tc>
        <w:tc>
          <w:tcPr>
            <w:tcW w:w="2249" w:type="dxa"/>
            <w:tcBorders>
              <w:top w:val="single" w:sz="4" w:space="0" w:color="000000"/>
            </w:tcBorders>
          </w:tcPr>
          <w:p w14:paraId="0955CD59" w14:textId="77777777" w:rsidR="00682951" w:rsidRDefault="00CC4351">
            <w:pPr>
              <w:jc w:val="center"/>
            </w:pPr>
            <w:r>
              <w:t>T = .858</w:t>
            </w:r>
          </w:p>
        </w:tc>
        <w:tc>
          <w:tcPr>
            <w:tcW w:w="2250" w:type="dxa"/>
            <w:tcBorders>
              <w:top w:val="single" w:sz="4" w:space="0" w:color="000000"/>
            </w:tcBorders>
          </w:tcPr>
          <w:p w14:paraId="3BB37984" w14:textId="77777777" w:rsidR="00682951" w:rsidRDefault="00682951">
            <w:pPr>
              <w:jc w:val="center"/>
            </w:pPr>
          </w:p>
        </w:tc>
        <w:tc>
          <w:tcPr>
            <w:tcW w:w="2252" w:type="dxa"/>
            <w:tcBorders>
              <w:top w:val="single" w:sz="4" w:space="0" w:color="000000"/>
            </w:tcBorders>
          </w:tcPr>
          <w:p w14:paraId="6F49A0E8" w14:textId="77777777" w:rsidR="00682951" w:rsidRDefault="00682951">
            <w:pPr>
              <w:jc w:val="center"/>
            </w:pPr>
          </w:p>
        </w:tc>
      </w:tr>
      <w:tr w:rsidR="00682951" w14:paraId="61DD2E7E" w14:textId="77777777">
        <w:trPr>
          <w:trHeight w:val="240"/>
        </w:trPr>
        <w:tc>
          <w:tcPr>
            <w:tcW w:w="2250" w:type="dxa"/>
          </w:tcPr>
          <w:p w14:paraId="2A86A894" w14:textId="77777777" w:rsidR="00682951" w:rsidRDefault="00CC4351">
            <w:pPr>
              <w:jc w:val="center"/>
            </w:pPr>
            <w:r>
              <w:t>BM</w:t>
            </w:r>
          </w:p>
        </w:tc>
        <w:tc>
          <w:tcPr>
            <w:tcW w:w="2249" w:type="dxa"/>
          </w:tcPr>
          <w:p w14:paraId="0AFDF0E3" w14:textId="77777777" w:rsidR="00682951" w:rsidRDefault="00CC4351">
            <w:pPr>
              <w:jc w:val="center"/>
            </w:pPr>
            <w:r>
              <w:t>D = .858</w:t>
            </w:r>
          </w:p>
        </w:tc>
        <w:tc>
          <w:tcPr>
            <w:tcW w:w="2250" w:type="dxa"/>
          </w:tcPr>
          <w:p w14:paraId="4B0EF401" w14:textId="77777777" w:rsidR="00682951" w:rsidRDefault="00CC4351">
            <w:pPr>
              <w:jc w:val="center"/>
            </w:pPr>
            <w:r>
              <w:t>0</w:t>
            </w:r>
          </w:p>
        </w:tc>
        <w:tc>
          <w:tcPr>
            <w:tcW w:w="2252" w:type="dxa"/>
          </w:tcPr>
          <w:p w14:paraId="17B3A567" w14:textId="77777777" w:rsidR="00682951" w:rsidRDefault="00CC4351">
            <w:pPr>
              <w:jc w:val="center"/>
            </w:pPr>
            <w:r>
              <w:t>0</w:t>
            </w:r>
          </w:p>
        </w:tc>
      </w:tr>
      <w:tr w:rsidR="00682951" w14:paraId="621853CB" w14:textId="77777777">
        <w:trPr>
          <w:trHeight w:val="260"/>
        </w:trPr>
        <w:tc>
          <w:tcPr>
            <w:tcW w:w="2250" w:type="dxa"/>
          </w:tcPr>
          <w:p w14:paraId="7D4D7BF3" w14:textId="77777777" w:rsidR="00682951" w:rsidRDefault="00682951"/>
        </w:tc>
        <w:tc>
          <w:tcPr>
            <w:tcW w:w="2249" w:type="dxa"/>
          </w:tcPr>
          <w:p w14:paraId="209913DD" w14:textId="77777777" w:rsidR="00682951" w:rsidRDefault="00CC4351">
            <w:pPr>
              <w:jc w:val="center"/>
            </w:pPr>
            <w:r>
              <w:t>I = 0</w:t>
            </w:r>
          </w:p>
        </w:tc>
        <w:tc>
          <w:tcPr>
            <w:tcW w:w="2250" w:type="dxa"/>
          </w:tcPr>
          <w:p w14:paraId="2B9BBF0E" w14:textId="77777777" w:rsidR="00682951" w:rsidRDefault="00682951">
            <w:pPr>
              <w:jc w:val="center"/>
            </w:pPr>
          </w:p>
        </w:tc>
        <w:tc>
          <w:tcPr>
            <w:tcW w:w="2252" w:type="dxa"/>
          </w:tcPr>
          <w:p w14:paraId="10FD57A7" w14:textId="77777777" w:rsidR="00682951" w:rsidRDefault="00682951">
            <w:pPr>
              <w:jc w:val="center"/>
            </w:pPr>
          </w:p>
        </w:tc>
      </w:tr>
      <w:tr w:rsidR="00682951" w14:paraId="395F4005" w14:textId="77777777">
        <w:trPr>
          <w:trHeight w:val="240"/>
        </w:trPr>
        <w:tc>
          <w:tcPr>
            <w:tcW w:w="2250" w:type="dxa"/>
          </w:tcPr>
          <w:p w14:paraId="5A538071" w14:textId="77777777" w:rsidR="00682951" w:rsidRDefault="00682951"/>
        </w:tc>
        <w:tc>
          <w:tcPr>
            <w:tcW w:w="2249" w:type="dxa"/>
          </w:tcPr>
          <w:p w14:paraId="507345E4" w14:textId="77777777" w:rsidR="00682951" w:rsidRDefault="00CC4351">
            <w:pPr>
              <w:jc w:val="center"/>
            </w:pPr>
            <w:r>
              <w:t>T = .820</w:t>
            </w:r>
          </w:p>
        </w:tc>
        <w:tc>
          <w:tcPr>
            <w:tcW w:w="2250" w:type="dxa"/>
          </w:tcPr>
          <w:p w14:paraId="714D29AC" w14:textId="77777777" w:rsidR="00682951" w:rsidRDefault="00CC4351">
            <w:pPr>
              <w:jc w:val="center"/>
            </w:pPr>
            <w:r>
              <w:t>T = .383</w:t>
            </w:r>
          </w:p>
        </w:tc>
        <w:tc>
          <w:tcPr>
            <w:tcW w:w="2252" w:type="dxa"/>
          </w:tcPr>
          <w:p w14:paraId="38449044" w14:textId="77777777" w:rsidR="00682951" w:rsidRDefault="00682951">
            <w:pPr>
              <w:jc w:val="center"/>
            </w:pPr>
          </w:p>
        </w:tc>
      </w:tr>
      <w:tr w:rsidR="00682951" w14:paraId="393256CF" w14:textId="77777777">
        <w:trPr>
          <w:trHeight w:val="240"/>
        </w:trPr>
        <w:tc>
          <w:tcPr>
            <w:tcW w:w="2250" w:type="dxa"/>
          </w:tcPr>
          <w:p w14:paraId="1627C5F4" w14:textId="77777777" w:rsidR="00682951" w:rsidRDefault="00CC4351">
            <w:pPr>
              <w:jc w:val="center"/>
            </w:pPr>
            <w:r>
              <w:t>BRE</w:t>
            </w:r>
          </w:p>
        </w:tc>
        <w:tc>
          <w:tcPr>
            <w:tcW w:w="2249" w:type="dxa"/>
          </w:tcPr>
          <w:p w14:paraId="0EE1D5B8" w14:textId="77777777" w:rsidR="00682951" w:rsidRDefault="00CC4351">
            <w:pPr>
              <w:jc w:val="center"/>
            </w:pPr>
            <w:r>
              <w:t>D = .491</w:t>
            </w:r>
          </w:p>
        </w:tc>
        <w:tc>
          <w:tcPr>
            <w:tcW w:w="2250" w:type="dxa"/>
          </w:tcPr>
          <w:p w14:paraId="08D0B08A" w14:textId="77777777" w:rsidR="00682951" w:rsidRDefault="00CC4351">
            <w:pPr>
              <w:jc w:val="center"/>
            </w:pPr>
            <w:r>
              <w:t>D = .383</w:t>
            </w:r>
          </w:p>
        </w:tc>
        <w:tc>
          <w:tcPr>
            <w:tcW w:w="2252" w:type="dxa"/>
          </w:tcPr>
          <w:p w14:paraId="4911568E" w14:textId="77777777" w:rsidR="00682951" w:rsidRDefault="00CC4351">
            <w:pPr>
              <w:jc w:val="center"/>
            </w:pPr>
            <w:r>
              <w:t>0</w:t>
            </w:r>
          </w:p>
        </w:tc>
      </w:tr>
      <w:tr w:rsidR="00682951" w14:paraId="52384AAC" w14:textId="77777777">
        <w:trPr>
          <w:trHeight w:val="240"/>
        </w:trPr>
        <w:tc>
          <w:tcPr>
            <w:tcW w:w="2250" w:type="dxa"/>
          </w:tcPr>
          <w:p w14:paraId="5B391924" w14:textId="77777777" w:rsidR="00682951" w:rsidRDefault="00682951"/>
        </w:tc>
        <w:tc>
          <w:tcPr>
            <w:tcW w:w="2249" w:type="dxa"/>
          </w:tcPr>
          <w:p w14:paraId="38866108" w14:textId="77777777" w:rsidR="00682951" w:rsidRDefault="00CC4351">
            <w:pPr>
              <w:jc w:val="center"/>
            </w:pPr>
            <w:r>
              <w:t>I = .328</w:t>
            </w:r>
          </w:p>
        </w:tc>
        <w:tc>
          <w:tcPr>
            <w:tcW w:w="2250" w:type="dxa"/>
          </w:tcPr>
          <w:p w14:paraId="1645396A" w14:textId="77777777" w:rsidR="00682951" w:rsidRDefault="00CC4351">
            <w:pPr>
              <w:jc w:val="center"/>
            </w:pPr>
            <w:r>
              <w:t>I = .0</w:t>
            </w:r>
          </w:p>
        </w:tc>
        <w:tc>
          <w:tcPr>
            <w:tcW w:w="2252" w:type="dxa"/>
          </w:tcPr>
          <w:p w14:paraId="78B85240" w14:textId="77777777" w:rsidR="00682951" w:rsidRDefault="00682951">
            <w:pPr>
              <w:jc w:val="center"/>
            </w:pPr>
          </w:p>
        </w:tc>
      </w:tr>
      <w:tr w:rsidR="00682951" w14:paraId="2128C135" w14:textId="77777777">
        <w:trPr>
          <w:trHeight w:val="240"/>
        </w:trPr>
        <w:tc>
          <w:tcPr>
            <w:tcW w:w="2250" w:type="dxa"/>
          </w:tcPr>
          <w:p w14:paraId="54959834" w14:textId="77777777" w:rsidR="00682951" w:rsidRDefault="00682951"/>
        </w:tc>
        <w:tc>
          <w:tcPr>
            <w:tcW w:w="2249" w:type="dxa"/>
          </w:tcPr>
          <w:p w14:paraId="09FCD611" w14:textId="77777777" w:rsidR="00682951" w:rsidRDefault="00CC4351">
            <w:pPr>
              <w:jc w:val="center"/>
            </w:pPr>
            <w:r>
              <w:t>T = .714</w:t>
            </w:r>
          </w:p>
        </w:tc>
        <w:tc>
          <w:tcPr>
            <w:tcW w:w="2250" w:type="dxa"/>
          </w:tcPr>
          <w:p w14:paraId="43ACEF1E" w14:textId="77777777" w:rsidR="00682951" w:rsidRDefault="00CC4351">
            <w:pPr>
              <w:jc w:val="center"/>
            </w:pPr>
            <w:r>
              <w:t>T = .221</w:t>
            </w:r>
          </w:p>
        </w:tc>
        <w:tc>
          <w:tcPr>
            <w:tcW w:w="2252" w:type="dxa"/>
          </w:tcPr>
          <w:p w14:paraId="5C5E1A6D" w14:textId="77777777" w:rsidR="00682951" w:rsidRDefault="00CC4351">
            <w:pPr>
              <w:jc w:val="center"/>
            </w:pPr>
            <w:r>
              <w:t>T = .579</w:t>
            </w:r>
          </w:p>
        </w:tc>
      </w:tr>
      <w:tr w:rsidR="00682951" w14:paraId="7A067A18" w14:textId="77777777">
        <w:trPr>
          <w:trHeight w:val="260"/>
        </w:trPr>
        <w:tc>
          <w:tcPr>
            <w:tcW w:w="2250" w:type="dxa"/>
          </w:tcPr>
          <w:p w14:paraId="3388E087" w14:textId="77777777" w:rsidR="00682951" w:rsidRDefault="00CC4351">
            <w:pPr>
              <w:jc w:val="center"/>
            </w:pPr>
            <w:r>
              <w:t>BP</w:t>
            </w:r>
          </w:p>
        </w:tc>
        <w:tc>
          <w:tcPr>
            <w:tcW w:w="2249" w:type="dxa"/>
          </w:tcPr>
          <w:p w14:paraId="251A5F74" w14:textId="77777777" w:rsidR="00682951" w:rsidRDefault="00CC4351">
            <w:pPr>
              <w:jc w:val="center"/>
            </w:pPr>
            <w:r>
              <w:t>D = .240</w:t>
            </w:r>
          </w:p>
        </w:tc>
        <w:tc>
          <w:tcPr>
            <w:tcW w:w="2250" w:type="dxa"/>
          </w:tcPr>
          <w:p w14:paraId="7FCCB8C2" w14:textId="77777777" w:rsidR="00682951" w:rsidRDefault="00CC4351">
            <w:pPr>
              <w:jc w:val="center"/>
            </w:pPr>
            <w:r>
              <w:t>D = .000</w:t>
            </w:r>
          </w:p>
        </w:tc>
        <w:tc>
          <w:tcPr>
            <w:tcW w:w="2252" w:type="dxa"/>
          </w:tcPr>
          <w:p w14:paraId="6BD8DF96" w14:textId="77777777" w:rsidR="00682951" w:rsidRDefault="00CC4351">
            <w:pPr>
              <w:jc w:val="center"/>
            </w:pPr>
            <w:r>
              <w:t>D = .579</w:t>
            </w:r>
          </w:p>
        </w:tc>
      </w:tr>
      <w:tr w:rsidR="00682951" w14:paraId="3169A6DC" w14:textId="77777777">
        <w:trPr>
          <w:trHeight w:val="240"/>
        </w:trPr>
        <w:tc>
          <w:tcPr>
            <w:tcW w:w="2250" w:type="dxa"/>
          </w:tcPr>
          <w:p w14:paraId="6586ED9E" w14:textId="77777777" w:rsidR="00682951" w:rsidRDefault="00682951"/>
        </w:tc>
        <w:tc>
          <w:tcPr>
            <w:tcW w:w="2249" w:type="dxa"/>
          </w:tcPr>
          <w:p w14:paraId="0456ACD4" w14:textId="77777777" w:rsidR="00682951" w:rsidRDefault="00CC4351">
            <w:pPr>
              <w:jc w:val="center"/>
            </w:pPr>
            <w:r>
              <w:t>I = .474</w:t>
            </w:r>
          </w:p>
        </w:tc>
        <w:tc>
          <w:tcPr>
            <w:tcW w:w="2250" w:type="dxa"/>
          </w:tcPr>
          <w:p w14:paraId="0C31001C" w14:textId="77777777" w:rsidR="00682951" w:rsidRDefault="00CC4351">
            <w:pPr>
              <w:jc w:val="center"/>
            </w:pPr>
            <w:r>
              <w:t>I = .221</w:t>
            </w:r>
          </w:p>
        </w:tc>
        <w:tc>
          <w:tcPr>
            <w:tcW w:w="2252" w:type="dxa"/>
          </w:tcPr>
          <w:p w14:paraId="4EDDE366" w14:textId="77777777" w:rsidR="00682951" w:rsidRDefault="00CC4351">
            <w:pPr>
              <w:jc w:val="center"/>
            </w:pPr>
            <w:r>
              <w:t>I = .000</w:t>
            </w:r>
          </w:p>
        </w:tc>
      </w:tr>
    </w:tbl>
    <w:p w14:paraId="3D33017E" w14:textId="77777777" w:rsidR="00682951" w:rsidRDefault="00682951">
      <w:pPr>
        <w:pBdr>
          <w:top w:val="nil"/>
          <w:left w:val="nil"/>
          <w:bottom w:val="nil"/>
          <w:right w:val="nil"/>
          <w:between w:val="nil"/>
        </w:pBdr>
        <w:spacing w:line="480" w:lineRule="auto"/>
        <w:ind w:left="709" w:hanging="709"/>
        <w:jc w:val="both"/>
        <w:rPr>
          <w:color w:val="000000"/>
        </w:rPr>
      </w:pPr>
    </w:p>
    <w:sectPr w:rsidR="00682951">
      <w:footerReference w:type="defaul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3A35F" w14:textId="77777777" w:rsidR="0085417C" w:rsidRDefault="0085417C">
      <w:r>
        <w:separator/>
      </w:r>
    </w:p>
  </w:endnote>
  <w:endnote w:type="continuationSeparator" w:id="0">
    <w:p w14:paraId="139772E1" w14:textId="77777777" w:rsidR="0085417C" w:rsidRDefault="00854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A81B9" w14:textId="77777777" w:rsidR="00682951" w:rsidRDefault="00682951">
    <w:pPr>
      <w:pBdr>
        <w:top w:val="nil"/>
        <w:left w:val="nil"/>
        <w:bottom w:val="nil"/>
        <w:right w:val="nil"/>
        <w:between w:val="nil"/>
      </w:pBdr>
      <w:tabs>
        <w:tab w:val="center" w:pos="4419"/>
        <w:tab w:val="right" w:pos="8838"/>
      </w:tabs>
      <w:jc w:val="center"/>
      <w:rPr>
        <w:rFonts w:ascii="Calibri" w:eastAsia="Calibri" w:hAnsi="Calibri" w:cs="Calibri"/>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44F35" w14:textId="77777777" w:rsidR="0085417C" w:rsidRDefault="0085417C">
      <w:r>
        <w:separator/>
      </w:r>
    </w:p>
  </w:footnote>
  <w:footnote w:type="continuationSeparator" w:id="0">
    <w:p w14:paraId="69BF2E82" w14:textId="77777777" w:rsidR="0085417C" w:rsidRDefault="00854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CE1C92"/>
    <w:multiLevelType w:val="multilevel"/>
    <w:tmpl w:val="A746B03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15:restartNumberingAfterBreak="0">
    <w:nsid w:val="5F092D85"/>
    <w:multiLevelType w:val="multilevel"/>
    <w:tmpl w:val="17486A48"/>
    <w:lvl w:ilvl="0">
      <w:start w:val="1"/>
      <w:numFmt w:val="upperLetter"/>
      <w:lvlText w:val="%1."/>
      <w:lvlJc w:val="left"/>
      <w:pPr>
        <w:ind w:left="792" w:hanging="360"/>
      </w:p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2" w15:restartNumberingAfterBreak="0">
    <w:nsid w:val="6D8F4484"/>
    <w:multiLevelType w:val="multilevel"/>
    <w:tmpl w:val="8190F1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951"/>
    <w:rsid w:val="000F2DBD"/>
    <w:rsid w:val="004E5590"/>
    <w:rsid w:val="00682951"/>
    <w:rsid w:val="007E485D"/>
    <w:rsid w:val="0085417C"/>
    <w:rsid w:val="009946D2"/>
    <w:rsid w:val="00CC4351"/>
    <w:rsid w:val="00E06BD1"/>
  </w:rsids>
  <m:mathPr>
    <m:mathFont m:val="Cambria Math"/>
    <m:brkBin m:val="before"/>
    <m:brkBinSub m:val="--"/>
    <m:smallFrac m:val="0"/>
    <m:dispDef/>
    <m:lMargin m:val="0"/>
    <m:rMargin m:val="0"/>
    <m:defJc m:val="centerGroup"/>
    <m:wrapIndent m:val="1440"/>
    <m:intLim m:val="subSup"/>
    <m:naryLim m:val="undOvr"/>
  </m:mathPr>
  <w:themeFontLang w:val="en-B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87E3D"/>
  <w15:docId w15:val="{7EB484C4-B0E7-40BB-BC1A-4EBDE4F1D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B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40"/>
      <w:outlineLvl w:val="1"/>
    </w:pPr>
    <w:rPr>
      <w:rFonts w:ascii="Calibri" w:eastAsia="Calibri" w:hAnsi="Calibri" w:cs="Calibri"/>
      <w:color w:val="2E75B5"/>
      <w:sz w:val="26"/>
      <w:szCs w:val="26"/>
    </w:rPr>
  </w:style>
  <w:style w:type="paragraph" w:styleId="Ttulo3">
    <w:name w:val="heading 3"/>
    <w:basedOn w:val="Normal"/>
    <w:next w:val="Normal"/>
    <w:uiPriority w:val="9"/>
    <w:semiHidden/>
    <w:unhideWhenUsed/>
    <w:qFormat/>
    <w:pPr>
      <w:outlineLvl w:val="2"/>
    </w:pPr>
    <w:rPr>
      <w:b/>
      <w:sz w:val="27"/>
      <w:szCs w:val="27"/>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4E559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E55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3630</Words>
  <Characters>19971</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fca</cp:lastModifiedBy>
  <cp:revision>2</cp:revision>
  <dcterms:created xsi:type="dcterms:W3CDTF">2020-01-16T21:27:00Z</dcterms:created>
  <dcterms:modified xsi:type="dcterms:W3CDTF">2020-01-16T21:27:00Z</dcterms:modified>
</cp:coreProperties>
</file>